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B6E6" w14:textId="30FCB304" w:rsidR="006C1BFF" w:rsidRPr="00D02273" w:rsidRDefault="006C1BFF">
      <w:pPr>
        <w:rPr>
          <w:b/>
          <w:bCs/>
        </w:rPr>
      </w:pPr>
      <w:r w:rsidRPr="00D02273">
        <w:rPr>
          <w:b/>
          <w:bCs/>
        </w:rPr>
        <w:t xml:space="preserve">TENDER QUERIES </w:t>
      </w:r>
      <w:r w:rsidR="00D02273" w:rsidRPr="00D02273">
        <w:rPr>
          <w:b/>
          <w:bCs/>
        </w:rPr>
        <w:t>– SECTOR &amp; INVESTOR NARRATIVES 8</w:t>
      </w:r>
      <w:r w:rsidR="00D02273" w:rsidRPr="00D02273">
        <w:rPr>
          <w:b/>
          <w:bCs/>
          <w:vertAlign w:val="superscript"/>
        </w:rPr>
        <w:t>th</w:t>
      </w:r>
      <w:r w:rsidR="00D02273" w:rsidRPr="00D02273">
        <w:rPr>
          <w:b/>
          <w:bCs/>
        </w:rPr>
        <w:t xml:space="preserve"> January 2026</w:t>
      </w:r>
    </w:p>
    <w:tbl>
      <w:tblPr>
        <w:tblStyle w:val="TableGrid"/>
        <w:tblW w:w="0" w:type="auto"/>
        <w:tblLook w:val="04A0" w:firstRow="1" w:lastRow="0" w:firstColumn="1" w:lastColumn="0" w:noHBand="0" w:noVBand="1"/>
      </w:tblPr>
      <w:tblGrid>
        <w:gridCol w:w="595"/>
        <w:gridCol w:w="4252"/>
        <w:gridCol w:w="9055"/>
      </w:tblGrid>
      <w:tr w:rsidR="006C1BFF" w14:paraId="4BC123ED" w14:textId="77777777" w:rsidTr="00136A38">
        <w:tc>
          <w:tcPr>
            <w:tcW w:w="580" w:type="dxa"/>
          </w:tcPr>
          <w:p w14:paraId="44225248" w14:textId="29385D61" w:rsidR="006C1BFF" w:rsidRPr="00D02273" w:rsidRDefault="006C1BFF">
            <w:pPr>
              <w:rPr>
                <w:b/>
                <w:bCs/>
              </w:rPr>
            </w:pPr>
            <w:r w:rsidRPr="00D02273">
              <w:rPr>
                <w:b/>
                <w:bCs/>
              </w:rPr>
              <w:t xml:space="preserve">No. </w:t>
            </w:r>
          </w:p>
        </w:tc>
        <w:tc>
          <w:tcPr>
            <w:tcW w:w="4252" w:type="dxa"/>
          </w:tcPr>
          <w:p w14:paraId="73BB6EE4" w14:textId="1E312EBE" w:rsidR="006C1BFF" w:rsidRPr="00D02273" w:rsidRDefault="006C1BFF">
            <w:pPr>
              <w:rPr>
                <w:b/>
                <w:bCs/>
              </w:rPr>
            </w:pPr>
            <w:r w:rsidRPr="00D02273">
              <w:rPr>
                <w:b/>
                <w:bCs/>
              </w:rPr>
              <w:t>Query</w:t>
            </w:r>
          </w:p>
        </w:tc>
        <w:tc>
          <w:tcPr>
            <w:tcW w:w="9055" w:type="dxa"/>
          </w:tcPr>
          <w:p w14:paraId="789A1FC1" w14:textId="54233772" w:rsidR="006C1BFF" w:rsidRPr="00D02273" w:rsidRDefault="006C1BFF">
            <w:pPr>
              <w:rPr>
                <w:b/>
                <w:bCs/>
              </w:rPr>
            </w:pPr>
            <w:r w:rsidRPr="00D02273">
              <w:rPr>
                <w:b/>
                <w:bCs/>
              </w:rPr>
              <w:t>Response</w:t>
            </w:r>
          </w:p>
        </w:tc>
      </w:tr>
      <w:tr w:rsidR="006C1BFF" w14:paraId="7181F6F0" w14:textId="77777777" w:rsidTr="00136A38">
        <w:tc>
          <w:tcPr>
            <w:tcW w:w="580" w:type="dxa"/>
          </w:tcPr>
          <w:p w14:paraId="4B8C1BD4" w14:textId="726316B8" w:rsidR="006C1BFF" w:rsidRDefault="006C1BFF">
            <w:r>
              <w:t>1</w:t>
            </w:r>
          </w:p>
        </w:tc>
        <w:tc>
          <w:tcPr>
            <w:tcW w:w="4252" w:type="dxa"/>
          </w:tcPr>
          <w:p w14:paraId="591480F6" w14:textId="3E869FA4" w:rsidR="0096136F" w:rsidRDefault="00075A73" w:rsidP="0096136F">
            <w:r w:rsidRPr="00075A73">
              <w:t>Are you willing to accept bespoke proposal documents, rather than limiting submissions to written responses to the technical questions in Appendix 3</w:t>
            </w:r>
            <w:r w:rsidR="0096136F">
              <w:t xml:space="preserve"> / </w:t>
            </w:r>
            <w:r w:rsidR="0096136F" w:rsidRPr="0004115B">
              <w:t>Are bidders expected to respond to the Tender using the word document provided or may an alternative response format be used</w:t>
            </w:r>
            <w:r w:rsidR="0096136F">
              <w:t xml:space="preserve"> / </w:t>
            </w:r>
            <w:r w:rsidR="0096136F" w:rsidRPr="00136A38">
              <w:t>Do responses need to be submitted within the boxes as set out in Appendix 3, or can we create a separate template in our own formatting aligned to the same questions</w:t>
            </w:r>
          </w:p>
        </w:tc>
        <w:tc>
          <w:tcPr>
            <w:tcW w:w="9055" w:type="dxa"/>
          </w:tcPr>
          <w:p w14:paraId="02A43B42" w14:textId="0FE190BA" w:rsidR="006C1BFF" w:rsidRDefault="00D02A51">
            <w:r>
              <w:t xml:space="preserve">Bidders can provide their tender response in an alternative response format so long as all the </w:t>
            </w:r>
            <w:r w:rsidR="0040422B">
              <w:t>procurement questions are answered</w:t>
            </w:r>
            <w:r>
              <w:t xml:space="preserve">. </w:t>
            </w:r>
          </w:p>
        </w:tc>
      </w:tr>
      <w:tr w:rsidR="006C1BFF" w14:paraId="66F71673" w14:textId="77777777" w:rsidTr="00136A38">
        <w:tc>
          <w:tcPr>
            <w:tcW w:w="580" w:type="dxa"/>
          </w:tcPr>
          <w:p w14:paraId="21EB5C96" w14:textId="5E6B91CB" w:rsidR="006C1BFF" w:rsidRDefault="006C1BFF">
            <w:r>
              <w:t>2</w:t>
            </w:r>
          </w:p>
        </w:tc>
        <w:tc>
          <w:tcPr>
            <w:tcW w:w="4252" w:type="dxa"/>
          </w:tcPr>
          <w:p w14:paraId="5D4BB996" w14:textId="26E2FB2A" w:rsidR="006C1BFF" w:rsidRDefault="00075A73">
            <w:r w:rsidRPr="00075A73">
              <w:t>Are you open to receiving outcomes</w:t>
            </w:r>
            <w:r w:rsidRPr="00075A73">
              <w:noBreakHyphen/>
              <w:t>focused bids, i.e., proposals that prioritise the elements of analysis most likely to support their strategic objectives</w:t>
            </w:r>
          </w:p>
        </w:tc>
        <w:tc>
          <w:tcPr>
            <w:tcW w:w="9055" w:type="dxa"/>
          </w:tcPr>
          <w:p w14:paraId="3D1B9A31" w14:textId="7891EC0C" w:rsidR="006C1BFF" w:rsidRDefault="00C64E77">
            <w:r>
              <w:t>We will require responses to all the questions as specified</w:t>
            </w:r>
            <w:r w:rsidR="00971AC7">
              <w:t xml:space="preserve">. The bidder may allocate resourcing priorities across the </w:t>
            </w:r>
            <w:r w:rsidR="00074B52">
              <w:t xml:space="preserve">work programme </w:t>
            </w:r>
            <w:r w:rsidR="00971AC7">
              <w:t>as they see fit</w:t>
            </w:r>
            <w:r w:rsidR="00074B52">
              <w:t xml:space="preserve">. </w:t>
            </w:r>
          </w:p>
        </w:tc>
      </w:tr>
      <w:tr w:rsidR="006C1BFF" w14:paraId="375B52A5" w14:textId="77777777" w:rsidTr="00136A38">
        <w:tc>
          <w:tcPr>
            <w:tcW w:w="580" w:type="dxa"/>
          </w:tcPr>
          <w:p w14:paraId="30253303" w14:textId="5FC509D0" w:rsidR="006C1BFF" w:rsidRDefault="006C1BFF">
            <w:r>
              <w:t>3</w:t>
            </w:r>
          </w:p>
        </w:tc>
        <w:tc>
          <w:tcPr>
            <w:tcW w:w="4252" w:type="dxa"/>
          </w:tcPr>
          <w:p w14:paraId="1E22CFE3" w14:textId="4015C285" w:rsidR="006C1BFF" w:rsidRDefault="00A06BFF">
            <w:r w:rsidRPr="00A06BFF">
              <w:t>Would you be willing for the chosen supplier to engage with the Industrial Strategy Unit and the Industrial Strategy Advisory Council to ensure the final outputs are well</w:t>
            </w:r>
            <w:r w:rsidRPr="00A06BFF">
              <w:noBreakHyphen/>
              <w:t>positioned and effectively shared to support Enterprise Cheshire and Warrington’s longer</w:t>
            </w:r>
            <w:r w:rsidRPr="00A06BFF">
              <w:noBreakHyphen/>
              <w:t>term strategic objectives</w:t>
            </w:r>
          </w:p>
        </w:tc>
        <w:tc>
          <w:tcPr>
            <w:tcW w:w="9055" w:type="dxa"/>
          </w:tcPr>
          <w:p w14:paraId="388DEA1E" w14:textId="162F3F35" w:rsidR="006C1BFF" w:rsidRDefault="006D6FDE">
            <w:r>
              <w:t>Yes</w:t>
            </w:r>
            <w:r w:rsidR="0040422B">
              <w:t xml:space="preserve">, </w:t>
            </w:r>
            <w:r>
              <w:t>we would be open to exploring this</w:t>
            </w:r>
            <w:r w:rsidR="004D4A48">
              <w:t xml:space="preserve">. </w:t>
            </w:r>
            <w:r>
              <w:t xml:space="preserve"> </w:t>
            </w:r>
          </w:p>
        </w:tc>
      </w:tr>
      <w:tr w:rsidR="006C1BFF" w14:paraId="35B09226" w14:textId="77777777" w:rsidTr="00136A38">
        <w:tc>
          <w:tcPr>
            <w:tcW w:w="580" w:type="dxa"/>
          </w:tcPr>
          <w:p w14:paraId="457E644D" w14:textId="591AA04E" w:rsidR="006C1BFF" w:rsidRDefault="00A06BFF">
            <w:r>
              <w:t>4</w:t>
            </w:r>
          </w:p>
        </w:tc>
        <w:tc>
          <w:tcPr>
            <w:tcW w:w="4252" w:type="dxa"/>
          </w:tcPr>
          <w:p w14:paraId="1CDAA814" w14:textId="335B02F1" w:rsidR="006C1BFF" w:rsidRDefault="00A06BFF">
            <w:r w:rsidRPr="00A06BFF">
              <w:t>Would you be open to integrating diverse investor perspectives into the emerging cluster and sector propositions, to help ensure the analysis is appropriately tailored to its intended audiences</w:t>
            </w:r>
          </w:p>
        </w:tc>
        <w:tc>
          <w:tcPr>
            <w:tcW w:w="9055" w:type="dxa"/>
          </w:tcPr>
          <w:p w14:paraId="0B6ED365" w14:textId="0B8D4C3E" w:rsidR="006C1BFF" w:rsidRDefault="004C48B7">
            <w:r>
              <w:t>Yes</w:t>
            </w:r>
            <w:r w:rsidR="000376E2">
              <w:t>,</w:t>
            </w:r>
            <w:r>
              <w:t xml:space="preserve"> we would be open to exploring this</w:t>
            </w:r>
            <w:r w:rsidR="00977362">
              <w:t>. We are planning to have detailed conversations with landowners and prospective developers of specific investable propositions</w:t>
            </w:r>
            <w:r w:rsidR="00042701">
              <w:t xml:space="preserve"> as part of this </w:t>
            </w:r>
            <w:proofErr w:type="gramStart"/>
            <w:r w:rsidR="00042701">
              <w:t>work</w:t>
            </w:r>
            <w:r>
              <w:t>,</w:t>
            </w:r>
            <w:proofErr w:type="gramEnd"/>
            <w:r>
              <w:t xml:space="preserve"> however we </w:t>
            </w:r>
            <w:r w:rsidR="00977362">
              <w:t xml:space="preserve">would be </w:t>
            </w:r>
            <w:r w:rsidR="00D47794">
              <w:t>interested in</w:t>
            </w:r>
            <w:r w:rsidR="00977362">
              <w:t xml:space="preserve"> the successful bidder </w:t>
            </w:r>
            <w:r w:rsidR="00042701">
              <w:t xml:space="preserve">bringing in conversations with </w:t>
            </w:r>
            <w:r w:rsidR="00D47794">
              <w:t xml:space="preserve">institutional investors etc. </w:t>
            </w:r>
          </w:p>
        </w:tc>
      </w:tr>
      <w:tr w:rsidR="006C1BFF" w14:paraId="7A925B1E" w14:textId="77777777" w:rsidTr="00136A38">
        <w:tc>
          <w:tcPr>
            <w:tcW w:w="580" w:type="dxa"/>
          </w:tcPr>
          <w:p w14:paraId="51E38815" w14:textId="56C1401D" w:rsidR="006C1BFF" w:rsidRDefault="00A06BFF">
            <w:r>
              <w:t>5</w:t>
            </w:r>
          </w:p>
        </w:tc>
        <w:tc>
          <w:tcPr>
            <w:tcW w:w="4252" w:type="dxa"/>
          </w:tcPr>
          <w:p w14:paraId="20E86406" w14:textId="255468E2" w:rsidR="006C1BFF" w:rsidRDefault="00EF46AC">
            <w:r w:rsidRPr="00EF46AC">
              <w:t>Is there a maximum word count or page limit for the tender responses?</w:t>
            </w:r>
            <w:r w:rsidR="008469D5">
              <w:t xml:space="preserve"> / </w:t>
            </w:r>
            <w:r w:rsidR="008469D5" w:rsidRPr="008469D5">
              <w:t>Are there any word or page limits on responses – either to specific questions or overall? We have noted the limit on CVs</w:t>
            </w:r>
          </w:p>
        </w:tc>
        <w:tc>
          <w:tcPr>
            <w:tcW w:w="9055" w:type="dxa"/>
          </w:tcPr>
          <w:p w14:paraId="0E51FE38" w14:textId="5880320D" w:rsidR="006C1BFF" w:rsidRDefault="00CD7A07">
            <w:r>
              <w:t xml:space="preserve">There is no maximum word limit for tender responses except the limit on CVs, however we would ask that the </w:t>
            </w:r>
            <w:r w:rsidR="00AF3316">
              <w:t>response is of a reasonable length</w:t>
            </w:r>
            <w:r w:rsidR="00E17D45">
              <w:t xml:space="preserve">. </w:t>
            </w:r>
          </w:p>
        </w:tc>
      </w:tr>
      <w:tr w:rsidR="005D79C4" w14:paraId="770CAE4C" w14:textId="77777777" w:rsidTr="00136A38">
        <w:tc>
          <w:tcPr>
            <w:tcW w:w="580" w:type="dxa"/>
          </w:tcPr>
          <w:p w14:paraId="4BB5CB87" w14:textId="4EC56BEE" w:rsidR="005D79C4" w:rsidRDefault="005D79C4" w:rsidP="005D79C4">
            <w:r>
              <w:t>6</w:t>
            </w:r>
          </w:p>
        </w:tc>
        <w:tc>
          <w:tcPr>
            <w:tcW w:w="4252" w:type="dxa"/>
          </w:tcPr>
          <w:p w14:paraId="08F3333E" w14:textId="77777777" w:rsidR="005D79C4" w:rsidRDefault="005D79C4" w:rsidP="005D79C4">
            <w:pPr>
              <w:rPr>
                <w:rFonts w:eastAsia="Times New Roman"/>
              </w:rPr>
            </w:pPr>
            <w:r>
              <w:rPr>
                <w:rFonts w:eastAsia="Times New Roman"/>
              </w:rPr>
              <w:t>Could you please clarify the Value for Money scoring methodology, specifically what is the relative split of the value for money assessment between price and social value?</w:t>
            </w:r>
          </w:p>
          <w:p w14:paraId="184DEA83" w14:textId="7868624B" w:rsidR="005D79C4" w:rsidRDefault="005D79C4" w:rsidP="005D79C4"/>
        </w:tc>
        <w:tc>
          <w:tcPr>
            <w:tcW w:w="9055" w:type="dxa"/>
          </w:tcPr>
          <w:p w14:paraId="38435A40" w14:textId="77777777" w:rsidR="00044A23" w:rsidRPr="00044A23" w:rsidRDefault="00044A23" w:rsidP="00044A23">
            <w:r w:rsidRPr="00044A23">
              <w:t xml:space="preserve">Value for Money will be assessed holistically, </w:t>
            </w:r>
            <w:proofErr w:type="gramStart"/>
            <w:r w:rsidRPr="00044A23">
              <w:t>taking into account</w:t>
            </w:r>
            <w:proofErr w:type="gramEnd"/>
            <w:r w:rsidRPr="00044A23">
              <w:t xml:space="preserve"> price, social value, and the relationship between cost, scope, seniority and deliverability of the proposed approach, alongside the overall quality of the proposal.</w:t>
            </w:r>
          </w:p>
          <w:p w14:paraId="0AEA2544" w14:textId="77777777" w:rsidR="00044A23" w:rsidRPr="00044A23" w:rsidRDefault="00044A23" w:rsidP="00044A23">
            <w:r w:rsidRPr="00044A23">
              <w:t>The evaluation will consider:</w:t>
            </w:r>
          </w:p>
          <w:p w14:paraId="53A45747" w14:textId="77777777" w:rsidR="00044A23" w:rsidRPr="00044A23" w:rsidRDefault="00044A23" w:rsidP="00044A23">
            <w:pPr>
              <w:numPr>
                <w:ilvl w:val="0"/>
                <w:numId w:val="5"/>
              </w:numPr>
            </w:pPr>
            <w:r w:rsidRPr="00044A23">
              <w:t>the competitiveness and robustness of the proposed price in relation to the scope of work and level of resource proposed; and</w:t>
            </w:r>
          </w:p>
          <w:p w14:paraId="62B513C3" w14:textId="1F4070EF" w:rsidR="00044A23" w:rsidRPr="00044A23" w:rsidRDefault="00044A23" w:rsidP="00044A23">
            <w:pPr>
              <w:numPr>
                <w:ilvl w:val="0"/>
                <w:numId w:val="5"/>
              </w:numPr>
            </w:pPr>
            <w:r w:rsidRPr="00044A23">
              <w:t>any additional outputs, outcomes or social value generated through delivery of the project, including where relevant initiatives that promote equality, diversity and inclusion or address</w:t>
            </w:r>
            <w:r w:rsidR="00574A2A">
              <w:t xml:space="preserve"> relevant</w:t>
            </w:r>
            <w:r w:rsidRPr="00044A23">
              <w:t xml:space="preserve"> place-based considerations</w:t>
            </w:r>
            <w:r w:rsidR="00574A2A">
              <w:t>.</w:t>
            </w:r>
          </w:p>
          <w:p w14:paraId="57C3F8EE" w14:textId="77777777" w:rsidR="00044A23" w:rsidRPr="00044A23" w:rsidRDefault="00044A23" w:rsidP="00044A23">
            <w:r w:rsidRPr="00044A23">
              <w:t xml:space="preserve">The contracting authority does not intend to apply a fixed sub-weighting between price and social value within the Value for Money assessment; </w:t>
            </w:r>
            <w:proofErr w:type="gramStart"/>
            <w:r w:rsidRPr="00044A23">
              <w:t>instead</w:t>
            </w:r>
            <w:proofErr w:type="gramEnd"/>
            <w:r w:rsidRPr="00044A23">
              <w:t xml:space="preserve"> these elements will be considered together as part of the Value for Money criterion in determining the most economically advantageous tender.</w:t>
            </w:r>
          </w:p>
          <w:p w14:paraId="002A6FB9" w14:textId="3A1F6C12" w:rsidR="00397D81" w:rsidRDefault="00044A23" w:rsidP="005D79C4">
            <w:r w:rsidRPr="00044A23">
              <w:t>Bidders should note that while they may propose different delivery approaches or additional outputs, the evaluation will be undertaken in accordance with the published evaluation criteria and weightings.</w:t>
            </w:r>
          </w:p>
        </w:tc>
      </w:tr>
      <w:tr w:rsidR="005D79C4" w14:paraId="35693C54" w14:textId="77777777" w:rsidTr="00136A38">
        <w:tc>
          <w:tcPr>
            <w:tcW w:w="580" w:type="dxa"/>
          </w:tcPr>
          <w:p w14:paraId="184D3E52" w14:textId="753DD821" w:rsidR="005D79C4" w:rsidRDefault="005D79C4" w:rsidP="005D79C4">
            <w:r>
              <w:t>7</w:t>
            </w:r>
          </w:p>
        </w:tc>
        <w:tc>
          <w:tcPr>
            <w:tcW w:w="4252" w:type="dxa"/>
          </w:tcPr>
          <w:p w14:paraId="665C812A" w14:textId="2703140A" w:rsidR="005D79C4" w:rsidRDefault="005D79C4" w:rsidP="00037639">
            <w:r>
              <w:t>T</w:t>
            </w:r>
            <w:r w:rsidRPr="00613BFA">
              <w:t xml:space="preserve">he tender identifies the need to follow DBT NIS SIC code sector </w:t>
            </w:r>
            <w:proofErr w:type="gramStart"/>
            <w:r w:rsidRPr="00613BFA">
              <w:t>definitions, and</w:t>
            </w:r>
            <w:proofErr w:type="gramEnd"/>
            <w:r w:rsidRPr="00613BFA">
              <w:t xml:space="preserve"> also refers to RTIC/RSICs as the potential basis for the application of ‘enhanced </w:t>
            </w:r>
            <w:proofErr w:type="gramStart"/>
            <w:r w:rsidRPr="00613BFA">
              <w:t>definitions’</w:t>
            </w:r>
            <w:proofErr w:type="gramEnd"/>
            <w:r w:rsidRPr="00613BFA">
              <w:t xml:space="preserve">.  Does ECW have access to data from The Data City through an existing license and if so, would this be made available to the supplier?  And does ECW have access to other business base datasets e.g. </w:t>
            </w:r>
            <w:proofErr w:type="spellStart"/>
            <w:r w:rsidRPr="00613BFA">
              <w:t>Beauhurst</w:t>
            </w:r>
            <w:proofErr w:type="spellEnd"/>
            <w:r w:rsidRPr="00613BFA">
              <w:t xml:space="preserve"> that would be available to the suppliers?</w:t>
            </w:r>
          </w:p>
        </w:tc>
        <w:tc>
          <w:tcPr>
            <w:tcW w:w="9055" w:type="dxa"/>
          </w:tcPr>
          <w:p w14:paraId="3AA8D97C" w14:textId="4775187B" w:rsidR="00094539" w:rsidRDefault="00094539" w:rsidP="00094539">
            <w:r w:rsidRPr="00094539">
              <w:t>ECW does not currently have access to The Data City via a licence and cannot make this available to suppliers</w:t>
            </w:r>
            <w:r w:rsidR="001F0930">
              <w:t xml:space="preserve">, so the Supplier will need </w:t>
            </w:r>
            <w:r w:rsidR="001F4033">
              <w:t xml:space="preserve">to rely on their </w:t>
            </w:r>
            <w:r w:rsidR="001F0930">
              <w:t xml:space="preserve">own access to appropriate datasets. </w:t>
            </w:r>
            <w:r w:rsidRPr="00094539">
              <w:t>ECW is open to exploring equivalent appropriate enhanced methodologies.</w:t>
            </w:r>
            <w:r w:rsidR="00524A3D">
              <w:t xml:space="preserve"> </w:t>
            </w:r>
          </w:p>
          <w:p w14:paraId="04D69D89" w14:textId="77777777" w:rsidR="001F0930" w:rsidRPr="00094539" w:rsidRDefault="001F0930" w:rsidP="00094539"/>
          <w:p w14:paraId="7AAC4DC4" w14:textId="1E2927FE" w:rsidR="00094539" w:rsidRPr="00094539" w:rsidRDefault="00094539" w:rsidP="00094539">
            <w:r w:rsidRPr="00094539">
              <w:t xml:space="preserve">ECW has access to </w:t>
            </w:r>
            <w:proofErr w:type="spellStart"/>
            <w:r w:rsidRPr="00094539">
              <w:t>Beauhurst</w:t>
            </w:r>
            <w:proofErr w:type="spellEnd"/>
            <w:r w:rsidRPr="00094539">
              <w:t>; however, this access is for internal use only</w:t>
            </w:r>
            <w:r w:rsidR="003E0156">
              <w:t>.</w:t>
            </w:r>
          </w:p>
          <w:p w14:paraId="05D41D00" w14:textId="73DE60CF" w:rsidR="005D79C4" w:rsidRDefault="005D79C4" w:rsidP="005D79C4"/>
        </w:tc>
      </w:tr>
      <w:tr w:rsidR="005D79C4" w14:paraId="661C6F91" w14:textId="77777777" w:rsidTr="00136A38">
        <w:tc>
          <w:tcPr>
            <w:tcW w:w="580" w:type="dxa"/>
          </w:tcPr>
          <w:p w14:paraId="41921590" w14:textId="609951D6" w:rsidR="005D79C4" w:rsidRDefault="005D79C4" w:rsidP="005D79C4">
            <w:r>
              <w:t>7</w:t>
            </w:r>
          </w:p>
        </w:tc>
        <w:tc>
          <w:tcPr>
            <w:tcW w:w="4252" w:type="dxa"/>
          </w:tcPr>
          <w:p w14:paraId="1C520424" w14:textId="42A3B2F3" w:rsidR="005D79C4" w:rsidRDefault="005D79C4" w:rsidP="005D79C4">
            <w:r w:rsidRPr="008469D5">
              <w:t>Do you have access to any existing economic forecasts that provide insight on future growth in the sectors of interest and/or the economy more broadly</w:t>
            </w:r>
          </w:p>
        </w:tc>
        <w:tc>
          <w:tcPr>
            <w:tcW w:w="9055" w:type="dxa"/>
          </w:tcPr>
          <w:p w14:paraId="45BC0DBA" w14:textId="015B979C" w:rsidR="00F57D20" w:rsidRPr="00F57D20" w:rsidRDefault="00F57D20" w:rsidP="005D79C4">
            <w:r w:rsidRPr="00F57D20">
              <w:t>ECW has access to a range of internal and partner economic intelligence</w:t>
            </w:r>
            <w:r w:rsidR="00025661">
              <w:t>, however this does not include a single,</w:t>
            </w:r>
            <w:r w:rsidR="00377248">
              <w:t xml:space="preserve"> up to date</w:t>
            </w:r>
            <w:r w:rsidR="00025661">
              <w:t xml:space="preserve"> set of economic</w:t>
            </w:r>
            <w:r w:rsidR="00377248">
              <w:t xml:space="preserve"> forecasts at the subregional level. B</w:t>
            </w:r>
            <w:r w:rsidRPr="00F57D20">
              <w:t>idders should base their proposals on publicly available data sources and their own analysis</w:t>
            </w:r>
            <w:r>
              <w:t>.</w:t>
            </w:r>
            <w:r w:rsidR="00A579EE">
              <w:t xml:space="preserve"> </w:t>
            </w:r>
          </w:p>
          <w:p w14:paraId="11758FDB" w14:textId="2E5D1619" w:rsidR="005D79C4" w:rsidRDefault="005D79C4" w:rsidP="005D79C4"/>
        </w:tc>
      </w:tr>
      <w:tr w:rsidR="005D79C4" w14:paraId="33724C9E" w14:textId="77777777" w:rsidTr="00136A38">
        <w:tc>
          <w:tcPr>
            <w:tcW w:w="580" w:type="dxa"/>
          </w:tcPr>
          <w:p w14:paraId="627EDC59" w14:textId="77777777" w:rsidR="005D79C4" w:rsidRDefault="005D79C4" w:rsidP="005D79C4"/>
        </w:tc>
        <w:tc>
          <w:tcPr>
            <w:tcW w:w="4252" w:type="dxa"/>
          </w:tcPr>
          <w:p w14:paraId="37D8290F" w14:textId="77777777" w:rsidR="005D79C4" w:rsidRDefault="005D79C4" w:rsidP="005D79C4"/>
        </w:tc>
        <w:tc>
          <w:tcPr>
            <w:tcW w:w="9055" w:type="dxa"/>
          </w:tcPr>
          <w:p w14:paraId="7AABFF69" w14:textId="77777777" w:rsidR="005D79C4" w:rsidRDefault="005D79C4" w:rsidP="005D79C4"/>
        </w:tc>
      </w:tr>
    </w:tbl>
    <w:p w14:paraId="4CCE180E" w14:textId="77777777" w:rsidR="006C1BFF" w:rsidRDefault="006C1BFF"/>
    <w:p w14:paraId="474A5B6A" w14:textId="77777777" w:rsidR="00E20736" w:rsidRDefault="00E20736"/>
    <w:sectPr w:rsidR="00E20736" w:rsidSect="00136A3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04C5A"/>
    <w:multiLevelType w:val="multilevel"/>
    <w:tmpl w:val="AA8EB7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43C654B"/>
    <w:multiLevelType w:val="multilevel"/>
    <w:tmpl w:val="77AED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FB04C8B"/>
    <w:multiLevelType w:val="multilevel"/>
    <w:tmpl w:val="AA8EB7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2682D9B"/>
    <w:multiLevelType w:val="multilevel"/>
    <w:tmpl w:val="7ADC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0006F0"/>
    <w:multiLevelType w:val="multilevel"/>
    <w:tmpl w:val="A74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645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6220712">
    <w:abstractNumId w:val="2"/>
  </w:num>
  <w:num w:numId="3" w16cid:durableId="15876176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533149">
    <w:abstractNumId w:val="4"/>
  </w:num>
  <w:num w:numId="5" w16cid:durableId="413432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FF"/>
    <w:rsid w:val="00007D0C"/>
    <w:rsid w:val="00025661"/>
    <w:rsid w:val="000325B4"/>
    <w:rsid w:val="00037639"/>
    <w:rsid w:val="000376E2"/>
    <w:rsid w:val="0004115B"/>
    <w:rsid w:val="00042701"/>
    <w:rsid w:val="00044A23"/>
    <w:rsid w:val="00074B52"/>
    <w:rsid w:val="00075A73"/>
    <w:rsid w:val="00094539"/>
    <w:rsid w:val="00094F13"/>
    <w:rsid w:val="00101DCA"/>
    <w:rsid w:val="00132632"/>
    <w:rsid w:val="00135CB4"/>
    <w:rsid w:val="00136A38"/>
    <w:rsid w:val="001F0930"/>
    <w:rsid w:val="001F4033"/>
    <w:rsid w:val="00336AF8"/>
    <w:rsid w:val="00377248"/>
    <w:rsid w:val="00397D81"/>
    <w:rsid w:val="003B4C7B"/>
    <w:rsid w:val="003E0156"/>
    <w:rsid w:val="0040422B"/>
    <w:rsid w:val="0049179C"/>
    <w:rsid w:val="004C48B7"/>
    <w:rsid w:val="004D4A48"/>
    <w:rsid w:val="004F2882"/>
    <w:rsid w:val="00524A3D"/>
    <w:rsid w:val="005518BD"/>
    <w:rsid w:val="00552804"/>
    <w:rsid w:val="00574A2A"/>
    <w:rsid w:val="005B63FB"/>
    <w:rsid w:val="005D79C4"/>
    <w:rsid w:val="00613BFA"/>
    <w:rsid w:val="006C1BFF"/>
    <w:rsid w:val="006C7873"/>
    <w:rsid w:val="006D6FDE"/>
    <w:rsid w:val="007E54B9"/>
    <w:rsid w:val="008469D5"/>
    <w:rsid w:val="009357B5"/>
    <w:rsid w:val="009558E3"/>
    <w:rsid w:val="0096136F"/>
    <w:rsid w:val="00971AC7"/>
    <w:rsid w:val="00977362"/>
    <w:rsid w:val="00A06BFF"/>
    <w:rsid w:val="00A579EE"/>
    <w:rsid w:val="00AF3316"/>
    <w:rsid w:val="00C64E77"/>
    <w:rsid w:val="00CD7A07"/>
    <w:rsid w:val="00D02273"/>
    <w:rsid w:val="00D02A51"/>
    <w:rsid w:val="00D47794"/>
    <w:rsid w:val="00D938DA"/>
    <w:rsid w:val="00E17D45"/>
    <w:rsid w:val="00E20736"/>
    <w:rsid w:val="00EF46AC"/>
    <w:rsid w:val="00F57D20"/>
    <w:rsid w:val="00F63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DB1A"/>
  <w15:chartTrackingRefBased/>
  <w15:docId w15:val="{6F7422A7-6480-46DD-BBC1-0CBB2571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B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B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B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B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B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B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B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B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B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B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B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B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BFF"/>
    <w:rPr>
      <w:rFonts w:eastAsiaTheme="majorEastAsia" w:cstheme="majorBidi"/>
      <w:color w:val="272727" w:themeColor="text1" w:themeTint="D8"/>
    </w:rPr>
  </w:style>
  <w:style w:type="paragraph" w:styleId="Title">
    <w:name w:val="Title"/>
    <w:basedOn w:val="Normal"/>
    <w:next w:val="Normal"/>
    <w:link w:val="TitleChar"/>
    <w:uiPriority w:val="10"/>
    <w:qFormat/>
    <w:rsid w:val="006C1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BFF"/>
    <w:pPr>
      <w:spacing w:before="160"/>
      <w:jc w:val="center"/>
    </w:pPr>
    <w:rPr>
      <w:i/>
      <w:iCs/>
      <w:color w:val="404040" w:themeColor="text1" w:themeTint="BF"/>
    </w:rPr>
  </w:style>
  <w:style w:type="character" w:customStyle="1" w:styleId="QuoteChar">
    <w:name w:val="Quote Char"/>
    <w:basedOn w:val="DefaultParagraphFont"/>
    <w:link w:val="Quote"/>
    <w:uiPriority w:val="29"/>
    <w:rsid w:val="006C1BFF"/>
    <w:rPr>
      <w:i/>
      <w:iCs/>
      <w:color w:val="404040" w:themeColor="text1" w:themeTint="BF"/>
    </w:rPr>
  </w:style>
  <w:style w:type="paragraph" w:styleId="ListParagraph">
    <w:name w:val="List Paragraph"/>
    <w:basedOn w:val="Normal"/>
    <w:uiPriority w:val="34"/>
    <w:qFormat/>
    <w:rsid w:val="006C1BFF"/>
    <w:pPr>
      <w:ind w:left="720"/>
      <w:contextualSpacing/>
    </w:pPr>
  </w:style>
  <w:style w:type="character" w:styleId="IntenseEmphasis">
    <w:name w:val="Intense Emphasis"/>
    <w:basedOn w:val="DefaultParagraphFont"/>
    <w:uiPriority w:val="21"/>
    <w:qFormat/>
    <w:rsid w:val="006C1BFF"/>
    <w:rPr>
      <w:i/>
      <w:iCs/>
      <w:color w:val="0F4761" w:themeColor="accent1" w:themeShade="BF"/>
    </w:rPr>
  </w:style>
  <w:style w:type="paragraph" w:styleId="IntenseQuote">
    <w:name w:val="Intense Quote"/>
    <w:basedOn w:val="Normal"/>
    <w:next w:val="Normal"/>
    <w:link w:val="IntenseQuoteChar"/>
    <w:uiPriority w:val="30"/>
    <w:qFormat/>
    <w:rsid w:val="006C1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BFF"/>
    <w:rPr>
      <w:i/>
      <w:iCs/>
      <w:color w:val="0F4761" w:themeColor="accent1" w:themeShade="BF"/>
    </w:rPr>
  </w:style>
  <w:style w:type="character" w:styleId="IntenseReference">
    <w:name w:val="Intense Reference"/>
    <w:basedOn w:val="DefaultParagraphFont"/>
    <w:uiPriority w:val="32"/>
    <w:qFormat/>
    <w:rsid w:val="006C1BFF"/>
    <w:rPr>
      <w:b/>
      <w:bCs/>
      <w:smallCaps/>
      <w:color w:val="0F4761" w:themeColor="accent1" w:themeShade="BF"/>
      <w:spacing w:val="5"/>
    </w:rPr>
  </w:style>
  <w:style w:type="table" w:styleId="TableGrid">
    <w:name w:val="Table Grid"/>
    <w:basedOn w:val="TableNormal"/>
    <w:uiPriority w:val="39"/>
    <w:rsid w:val="006C1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684</Words>
  <Characters>3953</Characters>
  <Application>Microsoft Office Word</Application>
  <DocSecurity>0</DocSecurity>
  <Lines>73</Lines>
  <Paragraphs>29</Paragraphs>
  <ScaleCrop>false</ScaleCrop>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Crellin</dc:creator>
  <cp:keywords/>
  <dc:description/>
  <cp:lastModifiedBy>Melissa Crellin</cp:lastModifiedBy>
  <cp:revision>2</cp:revision>
  <dcterms:created xsi:type="dcterms:W3CDTF">2026-01-08T15:26:00Z</dcterms:created>
  <dcterms:modified xsi:type="dcterms:W3CDTF">2026-01-08T15:26:00Z</dcterms:modified>
</cp:coreProperties>
</file>