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99E22" w14:textId="77777777" w:rsidR="00BD72FF" w:rsidRPr="00BD72FF" w:rsidRDefault="00BD72FF" w:rsidP="00A558E5">
      <w:pPr>
        <w:jc w:val="center"/>
        <w:rPr>
          <w:rFonts w:asciiTheme="minorHAnsi" w:hAnsiTheme="minorHAnsi" w:cstheme="minorHAnsi"/>
          <w:b/>
          <w:sz w:val="22"/>
          <w:szCs w:val="22"/>
        </w:rPr>
      </w:pPr>
      <w:bookmarkStart w:id="0" w:name="_Hlk501016721"/>
      <w:bookmarkEnd w:id="0"/>
    </w:p>
    <w:p w14:paraId="31603E8E" w14:textId="77777777" w:rsidR="00BD72FF" w:rsidRPr="00BD72FF" w:rsidRDefault="00BD72FF" w:rsidP="00A558E5">
      <w:pPr>
        <w:jc w:val="center"/>
        <w:rPr>
          <w:rFonts w:asciiTheme="minorHAnsi" w:hAnsiTheme="minorHAnsi" w:cstheme="minorHAnsi"/>
          <w:b/>
          <w:sz w:val="22"/>
          <w:szCs w:val="22"/>
        </w:rPr>
      </w:pPr>
    </w:p>
    <w:p w14:paraId="1BA8D34F" w14:textId="77777777" w:rsidR="00BD72FF" w:rsidRPr="00BD72FF" w:rsidRDefault="00BD72FF" w:rsidP="00A558E5">
      <w:pPr>
        <w:jc w:val="center"/>
        <w:rPr>
          <w:rFonts w:asciiTheme="minorHAnsi" w:hAnsiTheme="minorHAnsi" w:cstheme="minorHAnsi"/>
          <w:b/>
          <w:sz w:val="22"/>
          <w:szCs w:val="22"/>
        </w:rPr>
      </w:pPr>
    </w:p>
    <w:p w14:paraId="13FA2916" w14:textId="544CA6D3" w:rsidR="00A558E5" w:rsidRPr="00BD72FF" w:rsidRDefault="00BD72FF" w:rsidP="00A558E5">
      <w:pPr>
        <w:jc w:val="center"/>
        <w:rPr>
          <w:rFonts w:asciiTheme="minorHAnsi" w:hAnsiTheme="minorHAnsi" w:cstheme="minorHAnsi"/>
          <w:b/>
          <w:sz w:val="22"/>
          <w:szCs w:val="22"/>
        </w:rPr>
      </w:pPr>
      <w:r w:rsidRPr="00BD72FF">
        <w:rPr>
          <w:rFonts w:asciiTheme="minorHAnsi" w:hAnsiTheme="minorHAnsi" w:cstheme="minorHAnsi"/>
          <w:noProof/>
          <w:sz w:val="22"/>
          <w:szCs w:val="22"/>
          <w:lang w:eastAsia="en-GB"/>
        </w:rPr>
        <w:drawing>
          <wp:anchor distT="0" distB="0" distL="114300" distR="114300" simplePos="0" relativeHeight="251659264" behindDoc="0" locked="0" layoutInCell="1" allowOverlap="1" wp14:anchorId="7EDB1876" wp14:editId="7E0A5B16">
            <wp:simplePos x="0" y="0"/>
            <wp:positionH relativeFrom="margin">
              <wp:align>center</wp:align>
            </wp:positionH>
            <wp:positionV relativeFrom="margin">
              <wp:posOffset>-733425</wp:posOffset>
            </wp:positionV>
            <wp:extent cx="1096010" cy="1082675"/>
            <wp:effectExtent l="0" t="0" r="889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01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8E5" w:rsidRPr="00BD72FF">
        <w:rPr>
          <w:rFonts w:asciiTheme="minorHAnsi" w:hAnsiTheme="minorHAnsi" w:cstheme="minorHAnsi"/>
          <w:b/>
          <w:sz w:val="22"/>
          <w:szCs w:val="22"/>
        </w:rPr>
        <w:t>Cheshire &amp; Warrington Local Enterprise Partnership</w:t>
      </w:r>
    </w:p>
    <w:p w14:paraId="7F06DD45" w14:textId="77777777" w:rsidR="001B0C22" w:rsidRPr="00BD72FF" w:rsidRDefault="001B0C22" w:rsidP="00A558E5">
      <w:pPr>
        <w:jc w:val="center"/>
        <w:rPr>
          <w:rFonts w:asciiTheme="minorHAnsi" w:hAnsiTheme="minorHAnsi" w:cstheme="minorHAnsi"/>
          <w:b/>
          <w:sz w:val="22"/>
          <w:szCs w:val="22"/>
        </w:rPr>
      </w:pPr>
    </w:p>
    <w:p w14:paraId="4563ADAE" w14:textId="77777777" w:rsidR="001B0C22" w:rsidRPr="00BD72FF" w:rsidRDefault="00A558E5" w:rsidP="00A558E5">
      <w:pPr>
        <w:jc w:val="center"/>
        <w:rPr>
          <w:rFonts w:asciiTheme="minorHAnsi" w:hAnsiTheme="minorHAnsi" w:cstheme="minorHAnsi"/>
          <w:b/>
          <w:sz w:val="22"/>
          <w:szCs w:val="22"/>
        </w:rPr>
      </w:pPr>
      <w:r w:rsidRPr="00BD72FF">
        <w:rPr>
          <w:rFonts w:asciiTheme="minorHAnsi" w:hAnsiTheme="minorHAnsi" w:cstheme="minorHAnsi"/>
          <w:b/>
          <w:sz w:val="22"/>
          <w:szCs w:val="22"/>
        </w:rPr>
        <w:t>Performance and Investment Committee</w:t>
      </w:r>
      <w:r w:rsidR="001B0C22" w:rsidRPr="00BD72FF">
        <w:rPr>
          <w:rFonts w:asciiTheme="minorHAnsi" w:hAnsiTheme="minorHAnsi" w:cstheme="minorHAnsi"/>
          <w:b/>
          <w:sz w:val="22"/>
          <w:szCs w:val="22"/>
        </w:rPr>
        <w:t xml:space="preserve"> </w:t>
      </w:r>
    </w:p>
    <w:p w14:paraId="1C0AD1BE" w14:textId="77777777" w:rsidR="00A558E5" w:rsidRPr="00BD72FF" w:rsidRDefault="001B0C22" w:rsidP="00A558E5">
      <w:pPr>
        <w:jc w:val="center"/>
        <w:rPr>
          <w:rFonts w:asciiTheme="minorHAnsi" w:hAnsiTheme="minorHAnsi" w:cstheme="minorHAnsi"/>
          <w:b/>
          <w:sz w:val="22"/>
          <w:szCs w:val="22"/>
        </w:rPr>
      </w:pPr>
      <w:r w:rsidRPr="00BD72FF">
        <w:rPr>
          <w:rFonts w:asciiTheme="minorHAnsi" w:hAnsiTheme="minorHAnsi" w:cstheme="minorHAnsi"/>
          <w:b/>
          <w:sz w:val="22"/>
          <w:szCs w:val="22"/>
        </w:rPr>
        <w:t>European Structural and Investment Fund Update</w:t>
      </w:r>
    </w:p>
    <w:p w14:paraId="661D1E38" w14:textId="77777777" w:rsidR="00A558E5" w:rsidRPr="00BD72FF" w:rsidRDefault="00A558E5" w:rsidP="00A558E5">
      <w:pPr>
        <w:rPr>
          <w:rFonts w:asciiTheme="minorHAnsi" w:hAnsiTheme="minorHAnsi" w:cstheme="minorHAnsi"/>
          <w:sz w:val="22"/>
          <w:szCs w:val="22"/>
        </w:rPr>
      </w:pPr>
    </w:p>
    <w:p w14:paraId="061D2D07" w14:textId="71D33FC6" w:rsidR="00A558E5" w:rsidRPr="00BD72FF" w:rsidRDefault="00A558E5" w:rsidP="00A558E5">
      <w:pPr>
        <w:rPr>
          <w:rFonts w:asciiTheme="minorHAnsi" w:hAnsiTheme="minorHAnsi" w:cstheme="minorHAnsi"/>
          <w:sz w:val="22"/>
          <w:szCs w:val="22"/>
        </w:rPr>
      </w:pPr>
    </w:p>
    <w:tbl>
      <w:tblPr>
        <w:tblW w:w="9096"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C0C0C0"/>
        <w:tblLook w:val="0000" w:firstRow="0" w:lastRow="0" w:firstColumn="0" w:lastColumn="0" w:noHBand="0" w:noVBand="0"/>
      </w:tblPr>
      <w:tblGrid>
        <w:gridCol w:w="5355"/>
        <w:gridCol w:w="3741"/>
      </w:tblGrid>
      <w:tr w:rsidR="00BD72FF" w:rsidRPr="00BD72FF" w14:paraId="445EDDD4" w14:textId="77777777" w:rsidTr="00BD72FF">
        <w:trPr>
          <w:trHeight w:val="449"/>
          <w:jc w:val="center"/>
        </w:trPr>
        <w:tc>
          <w:tcPr>
            <w:tcW w:w="5355" w:type="dxa"/>
            <w:shd w:val="clear" w:color="auto" w:fill="C0C0C0"/>
          </w:tcPr>
          <w:p w14:paraId="551453F3" w14:textId="77777777" w:rsidR="00BD72FF" w:rsidRPr="00BD72FF" w:rsidRDefault="00BD72FF" w:rsidP="00BD72FF">
            <w:pPr>
              <w:rPr>
                <w:rFonts w:asciiTheme="minorHAnsi" w:hAnsiTheme="minorHAnsi" w:cstheme="minorHAnsi"/>
                <w:b/>
                <w:sz w:val="22"/>
                <w:szCs w:val="22"/>
              </w:rPr>
            </w:pPr>
            <w:r w:rsidRPr="00BD72FF">
              <w:rPr>
                <w:rFonts w:asciiTheme="minorHAnsi" w:hAnsiTheme="minorHAnsi" w:cstheme="minorHAnsi"/>
                <w:b/>
                <w:sz w:val="22"/>
                <w:szCs w:val="22"/>
              </w:rPr>
              <w:t>Title: European Structural and Investment Fund Update</w:t>
            </w:r>
          </w:p>
          <w:p w14:paraId="7A81A998" w14:textId="097ADA20" w:rsidR="00BD72FF" w:rsidRPr="00BD72FF" w:rsidRDefault="00BD72FF" w:rsidP="00DE45E4">
            <w:pPr>
              <w:jc w:val="both"/>
              <w:rPr>
                <w:rFonts w:asciiTheme="minorHAnsi" w:hAnsiTheme="minorHAnsi" w:cstheme="minorHAnsi"/>
                <w:b/>
                <w:sz w:val="22"/>
                <w:szCs w:val="22"/>
              </w:rPr>
            </w:pPr>
          </w:p>
        </w:tc>
        <w:tc>
          <w:tcPr>
            <w:tcW w:w="3741" w:type="dxa"/>
            <w:shd w:val="clear" w:color="auto" w:fill="C0C0C0"/>
          </w:tcPr>
          <w:p w14:paraId="5B541963" w14:textId="50264D42" w:rsidR="00BD72FF" w:rsidRPr="00BD72FF" w:rsidRDefault="00BD72FF" w:rsidP="00DE45E4">
            <w:pPr>
              <w:rPr>
                <w:rFonts w:asciiTheme="minorHAnsi" w:hAnsiTheme="minorHAnsi" w:cstheme="minorHAnsi"/>
                <w:b/>
                <w:sz w:val="22"/>
                <w:szCs w:val="22"/>
              </w:rPr>
            </w:pPr>
            <w:r w:rsidRPr="00BD72FF">
              <w:rPr>
                <w:rFonts w:asciiTheme="minorHAnsi" w:hAnsiTheme="minorHAnsi" w:cstheme="minorHAnsi"/>
                <w:b/>
                <w:sz w:val="22"/>
                <w:szCs w:val="22"/>
              </w:rPr>
              <w:t>Agenda item:</w:t>
            </w:r>
            <w:r w:rsidRPr="00BD72FF">
              <w:rPr>
                <w:rFonts w:asciiTheme="minorHAnsi" w:hAnsiTheme="minorHAnsi" w:cstheme="minorHAnsi"/>
                <w:b/>
                <w:sz w:val="22"/>
                <w:szCs w:val="22"/>
              </w:rPr>
              <w:t>7</w:t>
            </w:r>
          </w:p>
        </w:tc>
      </w:tr>
      <w:tr w:rsidR="00BD72FF" w:rsidRPr="00BD72FF" w14:paraId="6122A759" w14:textId="77777777" w:rsidTr="00BD72FF">
        <w:trPr>
          <w:trHeight w:val="558"/>
          <w:jc w:val="center"/>
        </w:trPr>
        <w:tc>
          <w:tcPr>
            <w:tcW w:w="5355" w:type="dxa"/>
            <w:shd w:val="clear" w:color="auto" w:fill="C0C0C0"/>
          </w:tcPr>
          <w:p w14:paraId="0670F951" w14:textId="6138DF38" w:rsidR="00BD72FF" w:rsidRPr="00BD72FF" w:rsidRDefault="00BD72FF" w:rsidP="00DE45E4">
            <w:pPr>
              <w:jc w:val="both"/>
              <w:rPr>
                <w:rFonts w:asciiTheme="minorHAnsi" w:hAnsiTheme="minorHAnsi" w:cstheme="minorHAnsi"/>
                <w:b/>
                <w:sz w:val="22"/>
                <w:szCs w:val="22"/>
              </w:rPr>
            </w:pPr>
            <w:r w:rsidRPr="00BD72FF">
              <w:rPr>
                <w:rFonts w:asciiTheme="minorHAnsi" w:hAnsiTheme="minorHAnsi" w:cstheme="minorHAnsi"/>
                <w:b/>
                <w:sz w:val="22"/>
                <w:szCs w:val="22"/>
              </w:rPr>
              <w:t xml:space="preserve">Prepared by: </w:t>
            </w:r>
            <w:r w:rsidRPr="00BD72FF">
              <w:rPr>
                <w:rFonts w:asciiTheme="minorHAnsi" w:hAnsiTheme="minorHAnsi" w:cstheme="minorHAnsi"/>
                <w:b/>
                <w:sz w:val="22"/>
                <w:szCs w:val="22"/>
              </w:rPr>
              <w:t>Francis Lee</w:t>
            </w:r>
          </w:p>
        </w:tc>
        <w:tc>
          <w:tcPr>
            <w:tcW w:w="3741" w:type="dxa"/>
            <w:shd w:val="clear" w:color="auto" w:fill="C0C0C0"/>
          </w:tcPr>
          <w:p w14:paraId="37195019" w14:textId="77777777" w:rsidR="00BD72FF" w:rsidRPr="00BD72FF" w:rsidRDefault="00BD72FF" w:rsidP="00DE45E4">
            <w:pPr>
              <w:rPr>
                <w:rFonts w:asciiTheme="minorHAnsi" w:hAnsiTheme="minorHAnsi" w:cstheme="minorHAnsi"/>
                <w:b/>
                <w:sz w:val="22"/>
                <w:szCs w:val="22"/>
              </w:rPr>
            </w:pPr>
            <w:r w:rsidRPr="00BD72FF">
              <w:rPr>
                <w:rFonts w:asciiTheme="minorHAnsi" w:hAnsiTheme="minorHAnsi" w:cstheme="minorHAnsi"/>
                <w:b/>
                <w:sz w:val="22"/>
                <w:szCs w:val="22"/>
              </w:rPr>
              <w:t>Date of Report: 16</w:t>
            </w:r>
            <w:r w:rsidRPr="00BD72FF">
              <w:rPr>
                <w:rFonts w:asciiTheme="minorHAnsi" w:hAnsiTheme="minorHAnsi" w:cstheme="minorHAnsi"/>
                <w:b/>
                <w:sz w:val="22"/>
                <w:szCs w:val="22"/>
                <w:vertAlign w:val="superscript"/>
              </w:rPr>
              <w:t>th</w:t>
            </w:r>
            <w:r w:rsidRPr="00BD72FF">
              <w:rPr>
                <w:rFonts w:asciiTheme="minorHAnsi" w:hAnsiTheme="minorHAnsi" w:cstheme="minorHAnsi"/>
                <w:b/>
                <w:sz w:val="22"/>
                <w:szCs w:val="22"/>
              </w:rPr>
              <w:t xml:space="preserve"> May 2018</w:t>
            </w:r>
          </w:p>
        </w:tc>
      </w:tr>
    </w:tbl>
    <w:p w14:paraId="50428E88" w14:textId="018125F4" w:rsidR="00BD72FF" w:rsidRPr="00BD72FF" w:rsidRDefault="00BD72FF" w:rsidP="00A558E5">
      <w:pPr>
        <w:rPr>
          <w:rFonts w:asciiTheme="minorHAnsi" w:hAnsiTheme="minorHAnsi" w:cstheme="minorHAnsi"/>
          <w:sz w:val="22"/>
          <w:szCs w:val="22"/>
        </w:rPr>
      </w:pPr>
    </w:p>
    <w:p w14:paraId="10385B31" w14:textId="77777777" w:rsidR="00A558E5" w:rsidRPr="00BD72FF" w:rsidRDefault="00A558E5" w:rsidP="00871D7C">
      <w:pPr>
        <w:rPr>
          <w:rFonts w:asciiTheme="minorHAnsi" w:hAnsiTheme="minorHAnsi" w:cstheme="minorHAnsi"/>
          <w:sz w:val="22"/>
          <w:szCs w:val="22"/>
        </w:rPr>
      </w:pPr>
    </w:p>
    <w:p w14:paraId="098B21EF" w14:textId="77777777" w:rsidR="00FD3E1B" w:rsidRPr="00BD72FF" w:rsidRDefault="00FD3E1B" w:rsidP="00BD72FF">
      <w:pPr>
        <w:pStyle w:val="ListParagraph"/>
        <w:numPr>
          <w:ilvl w:val="0"/>
          <w:numId w:val="38"/>
        </w:numPr>
        <w:spacing w:after="160" w:line="259" w:lineRule="auto"/>
        <w:jc w:val="both"/>
        <w:rPr>
          <w:rFonts w:eastAsia="Calibri" w:cstheme="minorHAnsi"/>
          <w:b/>
          <w:sz w:val="22"/>
          <w:szCs w:val="22"/>
        </w:rPr>
      </w:pPr>
      <w:r w:rsidRPr="00BD72FF">
        <w:rPr>
          <w:rFonts w:eastAsia="Calibri" w:cstheme="minorHAnsi"/>
          <w:b/>
          <w:sz w:val="22"/>
          <w:szCs w:val="22"/>
        </w:rPr>
        <w:t>European Regional Development Fund</w:t>
      </w:r>
    </w:p>
    <w:p w14:paraId="39A178E9" w14:textId="77777777" w:rsidR="00FD3E1B" w:rsidRPr="00BD72FF" w:rsidRDefault="00FD3E1B" w:rsidP="00FD3E1B">
      <w:pPr>
        <w:spacing w:after="160" w:line="259" w:lineRule="auto"/>
        <w:jc w:val="both"/>
        <w:rPr>
          <w:rFonts w:asciiTheme="minorHAnsi" w:eastAsia="Calibri" w:hAnsiTheme="minorHAnsi" w:cstheme="minorHAnsi"/>
          <w:sz w:val="22"/>
          <w:szCs w:val="22"/>
        </w:rPr>
      </w:pPr>
      <w:r w:rsidRPr="00BD72FF">
        <w:rPr>
          <w:rFonts w:asciiTheme="minorHAnsi" w:eastAsia="Calibri" w:hAnsiTheme="minorHAnsi" w:cstheme="minorHAnsi"/>
          <w:sz w:val="22"/>
          <w:szCs w:val="22"/>
        </w:rPr>
        <w:t xml:space="preserve">Under the European Regional Development Fund fifteen outline applications have been supported in development and submitted in response to the calls which closed 20th April, in addition to the Multi-LEP calls developed in collaboration to support the Cheshire and Warrington LEP area in International Trade and to support a Cheshire Manufacturing Advisory Service. </w:t>
      </w:r>
    </w:p>
    <w:p w14:paraId="02A84722" w14:textId="77777777" w:rsidR="00FD3E1B" w:rsidRPr="00BD72FF" w:rsidRDefault="00FD3E1B" w:rsidP="00FD3E1B">
      <w:pPr>
        <w:spacing w:after="160" w:line="259" w:lineRule="auto"/>
        <w:jc w:val="both"/>
        <w:rPr>
          <w:rFonts w:asciiTheme="minorHAnsi" w:eastAsia="Calibri" w:hAnsiTheme="minorHAnsi" w:cstheme="minorHAnsi"/>
          <w:sz w:val="22"/>
          <w:szCs w:val="22"/>
        </w:rPr>
      </w:pPr>
      <w:r w:rsidRPr="00BD72FF">
        <w:rPr>
          <w:rFonts w:asciiTheme="minorHAnsi" w:eastAsia="Calibri" w:hAnsiTheme="minorHAnsi" w:cstheme="minorHAnsi"/>
          <w:sz w:val="22"/>
          <w:szCs w:val="22"/>
        </w:rPr>
        <w:t xml:space="preserve">These projects are now currently being assessed with the intention of presenting the applications and assessments for agreement at the next meeting of the European Structural and Investment Committee Chaired by Cllr Terry O’Neil on 21st June. </w:t>
      </w:r>
    </w:p>
    <w:p w14:paraId="0CBD9794" w14:textId="77777777" w:rsidR="00FD3E1B" w:rsidRPr="00BD72FF" w:rsidRDefault="00FD3E1B" w:rsidP="00FD3E1B">
      <w:pPr>
        <w:autoSpaceDE w:val="0"/>
        <w:autoSpaceDN w:val="0"/>
        <w:adjustRightInd w:val="0"/>
        <w:jc w:val="both"/>
        <w:rPr>
          <w:rFonts w:asciiTheme="minorHAnsi" w:eastAsia="Calibri" w:hAnsiTheme="minorHAnsi" w:cstheme="minorHAnsi"/>
          <w:color w:val="000000"/>
          <w:sz w:val="22"/>
          <w:szCs w:val="22"/>
        </w:rPr>
      </w:pPr>
      <w:r w:rsidRPr="00BD72FF">
        <w:rPr>
          <w:rFonts w:asciiTheme="minorHAnsi" w:eastAsia="Calibri" w:hAnsiTheme="minorHAnsi" w:cstheme="minorHAnsi"/>
          <w:color w:val="000000"/>
          <w:sz w:val="22"/>
          <w:szCs w:val="22"/>
        </w:rPr>
        <w:t xml:space="preserve">The Cheshire and Warrington Growth Hub and Growth Advice Service was granted an extension to enable a hand-over to the new Growth Hub to begin activity in October 2018. </w:t>
      </w:r>
    </w:p>
    <w:p w14:paraId="606CD365" w14:textId="77777777" w:rsidR="00FD3E1B" w:rsidRPr="00BD72FF" w:rsidRDefault="00FD3E1B" w:rsidP="00FD3E1B">
      <w:pPr>
        <w:autoSpaceDE w:val="0"/>
        <w:autoSpaceDN w:val="0"/>
        <w:adjustRightInd w:val="0"/>
        <w:jc w:val="both"/>
        <w:rPr>
          <w:rFonts w:asciiTheme="minorHAnsi" w:eastAsia="Calibri" w:hAnsiTheme="minorHAnsi" w:cstheme="minorHAnsi"/>
          <w:color w:val="000000"/>
          <w:sz w:val="22"/>
          <w:szCs w:val="22"/>
        </w:rPr>
      </w:pPr>
    </w:p>
    <w:p w14:paraId="49F6B73A" w14:textId="77777777" w:rsidR="00FD3E1B" w:rsidRPr="00BD72FF" w:rsidRDefault="00FD3E1B" w:rsidP="00FD3E1B">
      <w:pPr>
        <w:autoSpaceDE w:val="0"/>
        <w:autoSpaceDN w:val="0"/>
        <w:adjustRightInd w:val="0"/>
        <w:jc w:val="both"/>
        <w:rPr>
          <w:rFonts w:asciiTheme="minorHAnsi" w:eastAsia="Calibri" w:hAnsiTheme="minorHAnsi" w:cstheme="minorHAnsi"/>
          <w:color w:val="000000"/>
          <w:sz w:val="22"/>
          <w:szCs w:val="22"/>
        </w:rPr>
      </w:pPr>
      <w:r w:rsidRPr="00BD72FF">
        <w:rPr>
          <w:rFonts w:asciiTheme="minorHAnsi" w:eastAsia="Calibri" w:hAnsiTheme="minorHAnsi" w:cstheme="minorHAnsi"/>
          <w:color w:val="000000"/>
          <w:sz w:val="22"/>
          <w:szCs w:val="22"/>
        </w:rPr>
        <w:t xml:space="preserve">It has been important for the LEP to pursue the swift development of projects to meet the condensed timeline for committing the remaining ERDF programme in Cheshire and Warrington to avoid the return of funds to HMT/Brussels. It should be noted therefore that with a project pipeline now of £62.63m for an ERDF Programme financial allocation of £60.72m that all but the low carbon economy priority axis (which is 94.3% committed) are now either committed or overcommitted including support for Innovation, ICT and support for Small and Medium Sized Enterprises.   </w:t>
      </w:r>
    </w:p>
    <w:p w14:paraId="18E00C0E" w14:textId="77777777" w:rsidR="00FD3E1B" w:rsidRPr="00BD72FF" w:rsidRDefault="00FD3E1B" w:rsidP="00FD3E1B">
      <w:pPr>
        <w:autoSpaceDE w:val="0"/>
        <w:autoSpaceDN w:val="0"/>
        <w:adjustRightInd w:val="0"/>
        <w:jc w:val="both"/>
        <w:rPr>
          <w:rFonts w:asciiTheme="minorHAnsi" w:eastAsia="Calibri" w:hAnsiTheme="minorHAnsi" w:cstheme="minorHAnsi"/>
          <w:color w:val="000000"/>
          <w:sz w:val="22"/>
          <w:szCs w:val="22"/>
        </w:rPr>
      </w:pPr>
    </w:p>
    <w:p w14:paraId="663B42B6" w14:textId="77777777" w:rsidR="00FD3E1B" w:rsidRPr="00BD72FF" w:rsidRDefault="00FD3E1B" w:rsidP="00FD3E1B">
      <w:pPr>
        <w:spacing w:after="160" w:line="259" w:lineRule="auto"/>
        <w:jc w:val="both"/>
        <w:rPr>
          <w:rFonts w:asciiTheme="minorHAnsi" w:eastAsia="Calibri" w:hAnsiTheme="minorHAnsi" w:cstheme="minorHAnsi"/>
          <w:sz w:val="22"/>
          <w:szCs w:val="22"/>
        </w:rPr>
      </w:pPr>
      <w:r w:rsidRPr="00BD72FF">
        <w:rPr>
          <w:rFonts w:asciiTheme="minorHAnsi" w:eastAsia="Calibri" w:hAnsiTheme="minorHAnsi" w:cstheme="minorHAnsi"/>
          <w:sz w:val="22"/>
          <w:szCs w:val="22"/>
        </w:rPr>
        <w:t xml:space="preserve">Whilst it is inevitable that some projects will eventually return funds they are unable to commit to eligible expenditure and the exchange rate for our allocation of €77.8m which may change from 0.78 to 0.98 over the course of the year will make additional funds available these should be possible to commit to current priority projects and the development of an Urban Development Fund which the Cheshire and Warrington LEP is still currently pursuing with the support of CBRE. Any further funding remaining or reallocation from other LEP areas will be committed to a call for projects in October 2018 (subject to funds being available and the strategic merit of proposed projects).  </w:t>
      </w:r>
    </w:p>
    <w:p w14:paraId="0A7B20DA" w14:textId="77777777" w:rsidR="00FD3E1B" w:rsidRPr="00BD72FF" w:rsidRDefault="00FD3E1B" w:rsidP="00BD72FF">
      <w:pPr>
        <w:pStyle w:val="ListParagraph"/>
        <w:numPr>
          <w:ilvl w:val="0"/>
          <w:numId w:val="38"/>
        </w:numPr>
        <w:spacing w:after="160" w:line="259" w:lineRule="auto"/>
        <w:rPr>
          <w:rFonts w:eastAsia="Calibri" w:cstheme="minorHAnsi"/>
          <w:b/>
          <w:sz w:val="22"/>
          <w:szCs w:val="22"/>
        </w:rPr>
      </w:pPr>
      <w:r w:rsidRPr="00BD72FF">
        <w:rPr>
          <w:rFonts w:eastAsia="Calibri" w:cstheme="minorHAnsi"/>
          <w:b/>
          <w:sz w:val="22"/>
          <w:szCs w:val="22"/>
        </w:rPr>
        <w:t>European Social Fund</w:t>
      </w:r>
    </w:p>
    <w:p w14:paraId="30A811C7" w14:textId="77777777" w:rsidR="00FD3E1B" w:rsidRPr="00BD72FF" w:rsidRDefault="00FD3E1B" w:rsidP="00FD3E1B">
      <w:pPr>
        <w:spacing w:after="160" w:line="259" w:lineRule="auto"/>
        <w:jc w:val="both"/>
        <w:rPr>
          <w:rFonts w:asciiTheme="minorHAnsi" w:eastAsia="Calibri" w:hAnsiTheme="minorHAnsi" w:cstheme="minorHAnsi"/>
          <w:sz w:val="22"/>
          <w:szCs w:val="22"/>
        </w:rPr>
      </w:pPr>
      <w:r w:rsidRPr="00BD72FF">
        <w:rPr>
          <w:rFonts w:asciiTheme="minorHAnsi" w:eastAsia="Calibri" w:hAnsiTheme="minorHAnsi" w:cstheme="minorHAnsi"/>
          <w:sz w:val="22"/>
          <w:szCs w:val="22"/>
        </w:rPr>
        <w:t xml:space="preserve">Cheshire and Warrington Local Enterprise Partnership (LEP) has now been informed by the Department for Work and Pensions (DWP) of the timing for launching the next round of European Social Fund (ESF) calls in the sub-region to enable the LEP to commit the remaining European Social Fund Programme against the agreed strategic priorities for investment in skills and employment across the LEP area. </w:t>
      </w:r>
    </w:p>
    <w:p w14:paraId="3ABEDD2E" w14:textId="77777777" w:rsidR="00FD3E1B" w:rsidRPr="00BD72FF" w:rsidRDefault="00FD3E1B" w:rsidP="00FD3E1B">
      <w:pPr>
        <w:spacing w:after="160" w:line="259" w:lineRule="auto"/>
        <w:jc w:val="both"/>
        <w:rPr>
          <w:rFonts w:asciiTheme="minorHAnsi" w:eastAsia="Calibri" w:hAnsiTheme="minorHAnsi" w:cstheme="minorHAnsi"/>
          <w:sz w:val="22"/>
          <w:szCs w:val="22"/>
        </w:rPr>
      </w:pPr>
      <w:r w:rsidRPr="00BD72FF">
        <w:rPr>
          <w:rFonts w:asciiTheme="minorHAnsi" w:eastAsia="Calibri" w:hAnsiTheme="minorHAnsi" w:cstheme="minorHAnsi"/>
          <w:sz w:val="22"/>
          <w:szCs w:val="22"/>
        </w:rPr>
        <w:lastRenderedPageBreak/>
        <w:t xml:space="preserve">The calls for projects will both provide students with relevant training and career guidance for opportunities in Cheshire and Warrington and will provide employers with a critical role in inspiring and providing information on new career opportunities, technologies and business development needs and in aligning the world of work, training provision and education more effectively.  </w:t>
      </w:r>
    </w:p>
    <w:p w14:paraId="2AADAF62" w14:textId="77777777" w:rsidR="00FD3E1B" w:rsidRPr="00BD72FF" w:rsidRDefault="00FD3E1B" w:rsidP="00FD3E1B">
      <w:pPr>
        <w:spacing w:after="160" w:line="259" w:lineRule="auto"/>
        <w:jc w:val="both"/>
        <w:rPr>
          <w:rFonts w:asciiTheme="minorHAnsi" w:eastAsia="Calibri" w:hAnsiTheme="minorHAnsi" w:cstheme="minorHAnsi"/>
          <w:sz w:val="22"/>
          <w:szCs w:val="22"/>
        </w:rPr>
      </w:pPr>
      <w:r w:rsidRPr="00BD72FF">
        <w:rPr>
          <w:rFonts w:asciiTheme="minorHAnsi" w:eastAsia="Calibri" w:hAnsiTheme="minorHAnsi" w:cstheme="minorHAnsi"/>
          <w:sz w:val="22"/>
          <w:szCs w:val="22"/>
        </w:rPr>
        <w:t xml:space="preserve">Call Details, by Investment Priority, are shown below. </w:t>
      </w:r>
    </w:p>
    <w:p w14:paraId="642E0E6D" w14:textId="77777777" w:rsidR="00FD3E1B" w:rsidRPr="00BD72FF" w:rsidRDefault="00FD3E1B" w:rsidP="00FD3E1B">
      <w:pPr>
        <w:rPr>
          <w:rFonts w:asciiTheme="minorHAnsi" w:eastAsia="Calibri" w:hAnsiTheme="minorHAnsi" w:cstheme="minorHAnsi"/>
          <w:sz w:val="22"/>
          <w:szCs w:val="22"/>
        </w:rPr>
      </w:pPr>
    </w:p>
    <w:tbl>
      <w:tblPr>
        <w:tblStyle w:val="TableGrid11"/>
        <w:tblW w:w="9606" w:type="dxa"/>
        <w:tblLayout w:type="fixed"/>
        <w:tblLook w:val="04A0" w:firstRow="1" w:lastRow="0" w:firstColumn="1" w:lastColumn="0" w:noHBand="0" w:noVBand="1"/>
      </w:tblPr>
      <w:tblGrid>
        <w:gridCol w:w="550"/>
        <w:gridCol w:w="4850"/>
        <w:gridCol w:w="1654"/>
        <w:gridCol w:w="1276"/>
        <w:gridCol w:w="1276"/>
      </w:tblGrid>
      <w:tr w:rsidR="00FD3E1B" w:rsidRPr="00BD72FF" w14:paraId="1C0A661E" w14:textId="77777777" w:rsidTr="00B73554">
        <w:tc>
          <w:tcPr>
            <w:tcW w:w="5400" w:type="dxa"/>
            <w:gridSpan w:val="2"/>
          </w:tcPr>
          <w:p w14:paraId="55EC64E8" w14:textId="77777777" w:rsidR="00FD3E1B" w:rsidRPr="00BD72FF" w:rsidRDefault="00FD3E1B" w:rsidP="00FD3E1B">
            <w:pPr>
              <w:jc w:val="center"/>
              <w:rPr>
                <w:rFonts w:asciiTheme="minorHAnsi" w:hAnsiTheme="minorHAnsi" w:cstheme="minorHAnsi"/>
                <w:sz w:val="22"/>
                <w:szCs w:val="22"/>
              </w:rPr>
            </w:pPr>
            <w:r w:rsidRPr="00BD72FF">
              <w:rPr>
                <w:rFonts w:asciiTheme="minorHAnsi" w:hAnsiTheme="minorHAnsi" w:cstheme="minorHAnsi"/>
                <w:sz w:val="22"/>
                <w:szCs w:val="22"/>
              </w:rPr>
              <w:t>Investment Priority</w:t>
            </w:r>
          </w:p>
        </w:tc>
        <w:tc>
          <w:tcPr>
            <w:tcW w:w="1654" w:type="dxa"/>
          </w:tcPr>
          <w:p w14:paraId="68E7F50A" w14:textId="77777777" w:rsidR="00FD3E1B" w:rsidRPr="00BD72FF" w:rsidRDefault="00FD3E1B" w:rsidP="00FD3E1B">
            <w:pPr>
              <w:rPr>
                <w:rFonts w:asciiTheme="minorHAnsi" w:hAnsiTheme="minorHAnsi" w:cstheme="minorHAnsi"/>
                <w:sz w:val="22"/>
                <w:szCs w:val="22"/>
              </w:rPr>
            </w:pPr>
          </w:p>
        </w:tc>
        <w:tc>
          <w:tcPr>
            <w:tcW w:w="1276" w:type="dxa"/>
          </w:tcPr>
          <w:p w14:paraId="25B07BE4"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ESF remaining</w:t>
            </w:r>
          </w:p>
        </w:tc>
        <w:tc>
          <w:tcPr>
            <w:tcW w:w="1276" w:type="dxa"/>
          </w:tcPr>
          <w:p w14:paraId="7E8DABF2"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call date</w:t>
            </w:r>
          </w:p>
        </w:tc>
      </w:tr>
      <w:tr w:rsidR="00FD3E1B" w:rsidRPr="00BD72FF" w14:paraId="43995F43" w14:textId="77777777" w:rsidTr="00B73554">
        <w:tc>
          <w:tcPr>
            <w:tcW w:w="550" w:type="dxa"/>
          </w:tcPr>
          <w:p w14:paraId="55FC4279"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1.1</w:t>
            </w:r>
          </w:p>
        </w:tc>
        <w:tc>
          <w:tcPr>
            <w:tcW w:w="4850" w:type="dxa"/>
          </w:tcPr>
          <w:p w14:paraId="498EF0ED"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 xml:space="preserve">Access to employment for job seekers and inactive people </w:t>
            </w:r>
          </w:p>
        </w:tc>
        <w:tc>
          <w:tcPr>
            <w:tcW w:w="1654" w:type="dxa"/>
          </w:tcPr>
          <w:p w14:paraId="0BBD8D31" w14:textId="77777777" w:rsidR="00FD3E1B" w:rsidRPr="00BD72FF" w:rsidRDefault="00FD3E1B" w:rsidP="00FD3E1B">
            <w:pPr>
              <w:rPr>
                <w:rFonts w:asciiTheme="minorHAnsi" w:hAnsiTheme="minorHAnsi" w:cstheme="minorHAnsi"/>
                <w:sz w:val="22"/>
                <w:szCs w:val="22"/>
              </w:rPr>
            </w:pPr>
          </w:p>
        </w:tc>
        <w:tc>
          <w:tcPr>
            <w:tcW w:w="1276" w:type="dxa"/>
          </w:tcPr>
          <w:p w14:paraId="01DE4328"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£7.4m</w:t>
            </w:r>
          </w:p>
        </w:tc>
        <w:tc>
          <w:tcPr>
            <w:tcW w:w="1276" w:type="dxa"/>
          </w:tcPr>
          <w:p w14:paraId="46C30B68"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w/c 11/06</w:t>
            </w:r>
          </w:p>
        </w:tc>
      </w:tr>
      <w:tr w:rsidR="00FD3E1B" w:rsidRPr="00BD72FF" w14:paraId="629BB296" w14:textId="77777777" w:rsidTr="00B73554">
        <w:tc>
          <w:tcPr>
            <w:tcW w:w="550" w:type="dxa"/>
          </w:tcPr>
          <w:p w14:paraId="6DE86CF2"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1.2</w:t>
            </w:r>
          </w:p>
        </w:tc>
        <w:tc>
          <w:tcPr>
            <w:tcW w:w="4850" w:type="dxa"/>
          </w:tcPr>
          <w:p w14:paraId="08A8776E"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 xml:space="preserve">Sustainable integration of young people </w:t>
            </w:r>
          </w:p>
        </w:tc>
        <w:tc>
          <w:tcPr>
            <w:tcW w:w="1654" w:type="dxa"/>
            <w:vMerge w:val="restart"/>
          </w:tcPr>
          <w:p w14:paraId="41FA5FA6" w14:textId="77777777" w:rsidR="00FD3E1B" w:rsidRPr="00BD72FF" w:rsidRDefault="00FD3E1B" w:rsidP="00FD3E1B">
            <w:pPr>
              <w:jc w:val="center"/>
              <w:rPr>
                <w:rFonts w:asciiTheme="minorHAnsi" w:hAnsiTheme="minorHAnsi" w:cstheme="minorHAnsi"/>
                <w:i/>
                <w:sz w:val="22"/>
                <w:szCs w:val="22"/>
              </w:rPr>
            </w:pPr>
            <w:r w:rsidRPr="00BD72FF">
              <w:rPr>
                <w:rFonts w:asciiTheme="minorHAnsi" w:hAnsiTheme="minorHAnsi" w:cstheme="minorHAnsi"/>
                <w:i/>
                <w:sz w:val="22"/>
                <w:szCs w:val="22"/>
              </w:rPr>
              <w:t>to be “merged” as one call</w:t>
            </w:r>
          </w:p>
        </w:tc>
        <w:tc>
          <w:tcPr>
            <w:tcW w:w="1276" w:type="dxa"/>
            <w:vMerge w:val="restart"/>
          </w:tcPr>
          <w:p w14:paraId="3D342EFC"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£5.5m</w:t>
            </w:r>
          </w:p>
        </w:tc>
        <w:tc>
          <w:tcPr>
            <w:tcW w:w="1276" w:type="dxa"/>
            <w:vMerge w:val="restart"/>
          </w:tcPr>
          <w:p w14:paraId="15FB3E8F"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w/c 02/07</w:t>
            </w:r>
          </w:p>
        </w:tc>
      </w:tr>
      <w:tr w:rsidR="00FD3E1B" w:rsidRPr="00BD72FF" w14:paraId="3FC3C8FB" w14:textId="77777777" w:rsidTr="00B73554">
        <w:tc>
          <w:tcPr>
            <w:tcW w:w="550" w:type="dxa"/>
          </w:tcPr>
          <w:p w14:paraId="0A1F1F01"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1.4</w:t>
            </w:r>
          </w:p>
        </w:tc>
        <w:tc>
          <w:tcPr>
            <w:tcW w:w="4850" w:type="dxa"/>
          </w:tcPr>
          <w:p w14:paraId="66F51C2A"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 xml:space="preserve">Active inclusion </w:t>
            </w:r>
          </w:p>
        </w:tc>
        <w:tc>
          <w:tcPr>
            <w:tcW w:w="1654" w:type="dxa"/>
            <w:vMerge/>
          </w:tcPr>
          <w:p w14:paraId="644656F0" w14:textId="77777777" w:rsidR="00FD3E1B" w:rsidRPr="00BD72FF" w:rsidRDefault="00FD3E1B" w:rsidP="00FD3E1B">
            <w:pPr>
              <w:rPr>
                <w:rFonts w:asciiTheme="minorHAnsi" w:hAnsiTheme="minorHAnsi" w:cstheme="minorHAnsi"/>
                <w:sz w:val="22"/>
                <w:szCs w:val="22"/>
              </w:rPr>
            </w:pPr>
          </w:p>
        </w:tc>
        <w:tc>
          <w:tcPr>
            <w:tcW w:w="1276" w:type="dxa"/>
            <w:vMerge/>
          </w:tcPr>
          <w:p w14:paraId="798233AA" w14:textId="77777777" w:rsidR="00FD3E1B" w:rsidRPr="00BD72FF" w:rsidRDefault="00FD3E1B" w:rsidP="00FD3E1B">
            <w:pPr>
              <w:rPr>
                <w:rFonts w:asciiTheme="minorHAnsi" w:hAnsiTheme="minorHAnsi" w:cstheme="minorHAnsi"/>
                <w:sz w:val="22"/>
                <w:szCs w:val="22"/>
              </w:rPr>
            </w:pPr>
          </w:p>
        </w:tc>
        <w:tc>
          <w:tcPr>
            <w:tcW w:w="1276" w:type="dxa"/>
            <w:vMerge/>
          </w:tcPr>
          <w:p w14:paraId="1304F1FA" w14:textId="77777777" w:rsidR="00FD3E1B" w:rsidRPr="00BD72FF" w:rsidRDefault="00FD3E1B" w:rsidP="00FD3E1B">
            <w:pPr>
              <w:rPr>
                <w:rFonts w:asciiTheme="minorHAnsi" w:hAnsiTheme="minorHAnsi" w:cstheme="minorHAnsi"/>
                <w:sz w:val="22"/>
                <w:szCs w:val="22"/>
              </w:rPr>
            </w:pPr>
          </w:p>
        </w:tc>
      </w:tr>
      <w:tr w:rsidR="00FD3E1B" w:rsidRPr="00BD72FF" w14:paraId="2C7AD31F" w14:textId="77777777" w:rsidTr="00B73554">
        <w:tc>
          <w:tcPr>
            <w:tcW w:w="550" w:type="dxa"/>
          </w:tcPr>
          <w:p w14:paraId="550211C2"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2.1</w:t>
            </w:r>
          </w:p>
        </w:tc>
        <w:tc>
          <w:tcPr>
            <w:tcW w:w="4850" w:type="dxa"/>
          </w:tcPr>
          <w:p w14:paraId="4B7031BE"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 xml:space="preserve">Skills for growth </w:t>
            </w:r>
          </w:p>
        </w:tc>
        <w:tc>
          <w:tcPr>
            <w:tcW w:w="1654" w:type="dxa"/>
          </w:tcPr>
          <w:p w14:paraId="2A311FF0" w14:textId="77777777" w:rsidR="00FD3E1B" w:rsidRPr="00BD72FF" w:rsidRDefault="00FD3E1B" w:rsidP="00FD3E1B">
            <w:pPr>
              <w:rPr>
                <w:rFonts w:asciiTheme="minorHAnsi" w:hAnsiTheme="minorHAnsi" w:cstheme="minorHAnsi"/>
                <w:sz w:val="22"/>
                <w:szCs w:val="22"/>
              </w:rPr>
            </w:pPr>
          </w:p>
        </w:tc>
        <w:tc>
          <w:tcPr>
            <w:tcW w:w="1276" w:type="dxa"/>
          </w:tcPr>
          <w:p w14:paraId="39A312D4"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£14.8m</w:t>
            </w:r>
          </w:p>
        </w:tc>
        <w:tc>
          <w:tcPr>
            <w:tcW w:w="1276" w:type="dxa"/>
          </w:tcPr>
          <w:p w14:paraId="40162449"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w/c 02/07</w:t>
            </w:r>
          </w:p>
        </w:tc>
      </w:tr>
      <w:tr w:rsidR="00FD3E1B" w:rsidRPr="00BD72FF" w14:paraId="136D3844" w14:textId="77777777" w:rsidTr="00B73554">
        <w:tc>
          <w:tcPr>
            <w:tcW w:w="550" w:type="dxa"/>
            <w:tcBorders>
              <w:bottom w:val="single" w:sz="4" w:space="0" w:color="auto"/>
            </w:tcBorders>
          </w:tcPr>
          <w:p w14:paraId="7F02147D"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2.2</w:t>
            </w:r>
          </w:p>
        </w:tc>
        <w:tc>
          <w:tcPr>
            <w:tcW w:w="4850" w:type="dxa"/>
            <w:tcBorders>
              <w:bottom w:val="single" w:sz="4" w:space="0" w:color="auto"/>
            </w:tcBorders>
          </w:tcPr>
          <w:p w14:paraId="0DD90383"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 xml:space="preserve">Improving the relevance of education and training systems to employer needs </w:t>
            </w:r>
          </w:p>
        </w:tc>
        <w:tc>
          <w:tcPr>
            <w:tcW w:w="1654" w:type="dxa"/>
            <w:tcBorders>
              <w:bottom w:val="single" w:sz="4" w:space="0" w:color="auto"/>
            </w:tcBorders>
          </w:tcPr>
          <w:p w14:paraId="5968750E" w14:textId="77777777" w:rsidR="00FD3E1B" w:rsidRPr="00BD72FF" w:rsidRDefault="00FD3E1B" w:rsidP="00FD3E1B">
            <w:pPr>
              <w:rPr>
                <w:rFonts w:asciiTheme="minorHAnsi" w:hAnsiTheme="minorHAnsi" w:cstheme="minorHAnsi"/>
                <w:sz w:val="22"/>
                <w:szCs w:val="22"/>
              </w:rPr>
            </w:pPr>
          </w:p>
        </w:tc>
        <w:tc>
          <w:tcPr>
            <w:tcW w:w="1276" w:type="dxa"/>
          </w:tcPr>
          <w:p w14:paraId="175F8A55"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£1.1m</w:t>
            </w:r>
          </w:p>
        </w:tc>
        <w:tc>
          <w:tcPr>
            <w:tcW w:w="1276" w:type="dxa"/>
            <w:tcBorders>
              <w:bottom w:val="single" w:sz="4" w:space="0" w:color="auto"/>
            </w:tcBorders>
          </w:tcPr>
          <w:p w14:paraId="474A961A"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w/c 11/06</w:t>
            </w:r>
          </w:p>
        </w:tc>
      </w:tr>
      <w:tr w:rsidR="00FD3E1B" w:rsidRPr="00BD72FF" w14:paraId="1FC80A07" w14:textId="77777777" w:rsidTr="00B73554">
        <w:tc>
          <w:tcPr>
            <w:tcW w:w="550" w:type="dxa"/>
            <w:tcBorders>
              <w:left w:val="nil"/>
              <w:bottom w:val="nil"/>
              <w:right w:val="nil"/>
            </w:tcBorders>
          </w:tcPr>
          <w:p w14:paraId="601453DB" w14:textId="77777777" w:rsidR="00FD3E1B" w:rsidRPr="00BD72FF" w:rsidRDefault="00FD3E1B" w:rsidP="00FD3E1B">
            <w:pPr>
              <w:rPr>
                <w:rFonts w:asciiTheme="minorHAnsi" w:hAnsiTheme="minorHAnsi" w:cstheme="minorHAnsi"/>
                <w:sz w:val="22"/>
                <w:szCs w:val="22"/>
              </w:rPr>
            </w:pPr>
          </w:p>
        </w:tc>
        <w:tc>
          <w:tcPr>
            <w:tcW w:w="4850" w:type="dxa"/>
            <w:tcBorders>
              <w:left w:val="nil"/>
              <w:bottom w:val="nil"/>
              <w:right w:val="nil"/>
            </w:tcBorders>
          </w:tcPr>
          <w:p w14:paraId="06E1D985" w14:textId="77777777" w:rsidR="00FD3E1B" w:rsidRPr="00BD72FF" w:rsidRDefault="00FD3E1B" w:rsidP="00FD3E1B">
            <w:pPr>
              <w:rPr>
                <w:rFonts w:asciiTheme="minorHAnsi" w:hAnsiTheme="minorHAnsi" w:cstheme="minorHAnsi"/>
                <w:sz w:val="22"/>
                <w:szCs w:val="22"/>
              </w:rPr>
            </w:pPr>
          </w:p>
        </w:tc>
        <w:tc>
          <w:tcPr>
            <w:tcW w:w="1654" w:type="dxa"/>
            <w:tcBorders>
              <w:left w:val="nil"/>
              <w:bottom w:val="nil"/>
            </w:tcBorders>
          </w:tcPr>
          <w:p w14:paraId="21627871" w14:textId="77777777" w:rsidR="00FD3E1B" w:rsidRPr="00BD72FF" w:rsidRDefault="00FD3E1B" w:rsidP="00FD3E1B">
            <w:pPr>
              <w:rPr>
                <w:rFonts w:asciiTheme="minorHAnsi" w:hAnsiTheme="minorHAnsi" w:cstheme="minorHAnsi"/>
                <w:sz w:val="22"/>
                <w:szCs w:val="22"/>
              </w:rPr>
            </w:pPr>
          </w:p>
        </w:tc>
        <w:tc>
          <w:tcPr>
            <w:tcW w:w="1276" w:type="dxa"/>
          </w:tcPr>
          <w:p w14:paraId="59B35892" w14:textId="77777777" w:rsidR="00FD3E1B" w:rsidRPr="00BD72FF" w:rsidRDefault="00FD3E1B" w:rsidP="00FD3E1B">
            <w:pPr>
              <w:rPr>
                <w:rFonts w:asciiTheme="minorHAnsi" w:hAnsiTheme="minorHAnsi" w:cstheme="minorHAnsi"/>
                <w:sz w:val="22"/>
                <w:szCs w:val="22"/>
              </w:rPr>
            </w:pPr>
            <w:r w:rsidRPr="00BD72FF">
              <w:rPr>
                <w:rFonts w:asciiTheme="minorHAnsi" w:hAnsiTheme="minorHAnsi" w:cstheme="minorHAnsi"/>
                <w:sz w:val="22"/>
                <w:szCs w:val="22"/>
              </w:rPr>
              <w:t>£28.9m</w:t>
            </w:r>
          </w:p>
        </w:tc>
        <w:tc>
          <w:tcPr>
            <w:tcW w:w="1276" w:type="dxa"/>
            <w:tcBorders>
              <w:bottom w:val="nil"/>
              <w:right w:val="nil"/>
            </w:tcBorders>
          </w:tcPr>
          <w:p w14:paraId="5059CADB" w14:textId="77777777" w:rsidR="00FD3E1B" w:rsidRPr="00BD72FF" w:rsidRDefault="00FD3E1B" w:rsidP="00FD3E1B">
            <w:pPr>
              <w:rPr>
                <w:rFonts w:asciiTheme="minorHAnsi" w:hAnsiTheme="minorHAnsi" w:cstheme="minorHAnsi"/>
                <w:sz w:val="22"/>
                <w:szCs w:val="22"/>
              </w:rPr>
            </w:pPr>
          </w:p>
        </w:tc>
      </w:tr>
    </w:tbl>
    <w:p w14:paraId="1684C2E2" w14:textId="77777777" w:rsidR="00FD3E1B" w:rsidRPr="00BD72FF" w:rsidRDefault="00FD3E1B" w:rsidP="00FD3E1B">
      <w:pPr>
        <w:jc w:val="both"/>
        <w:rPr>
          <w:rFonts w:asciiTheme="minorHAnsi" w:eastAsia="Calibri" w:hAnsiTheme="minorHAnsi" w:cstheme="minorHAnsi"/>
          <w:sz w:val="22"/>
          <w:szCs w:val="22"/>
        </w:rPr>
      </w:pPr>
      <w:r w:rsidRPr="00BD72FF">
        <w:rPr>
          <w:rFonts w:asciiTheme="minorHAnsi" w:eastAsia="Calibri" w:hAnsiTheme="minorHAnsi" w:cstheme="minorHAnsi"/>
          <w:sz w:val="22"/>
          <w:szCs w:val="22"/>
        </w:rPr>
        <w:t xml:space="preserve">Calls will be posted on the Government’s European Structural and Investment Funds (ESIF) website </w:t>
      </w:r>
      <w:hyperlink r:id="rId9" w:history="1">
        <w:r w:rsidRPr="00BD72FF">
          <w:rPr>
            <w:rFonts w:asciiTheme="minorHAnsi" w:eastAsia="Calibri" w:hAnsiTheme="minorHAnsi" w:cstheme="minorHAnsi"/>
            <w:color w:val="0000FF"/>
            <w:sz w:val="22"/>
            <w:szCs w:val="22"/>
            <w:u w:val="single"/>
          </w:rPr>
          <w:t>https://www.gov.uk/european-structural-investment-funds</w:t>
        </w:r>
      </w:hyperlink>
    </w:p>
    <w:p w14:paraId="7E351577" w14:textId="77777777" w:rsidR="00FD3E1B" w:rsidRPr="00BD72FF" w:rsidRDefault="00FD3E1B" w:rsidP="00FD3E1B">
      <w:pPr>
        <w:jc w:val="both"/>
        <w:rPr>
          <w:rFonts w:asciiTheme="minorHAnsi" w:eastAsia="Calibri" w:hAnsiTheme="minorHAnsi" w:cstheme="minorHAnsi"/>
          <w:sz w:val="22"/>
          <w:szCs w:val="22"/>
        </w:rPr>
      </w:pPr>
    </w:p>
    <w:p w14:paraId="55856D5E" w14:textId="77777777" w:rsidR="00FD3E1B" w:rsidRPr="00BD72FF" w:rsidRDefault="00FD3E1B" w:rsidP="00FD3E1B">
      <w:pPr>
        <w:jc w:val="both"/>
        <w:rPr>
          <w:rFonts w:asciiTheme="minorHAnsi" w:eastAsia="Calibri" w:hAnsiTheme="minorHAnsi" w:cstheme="minorHAnsi"/>
          <w:sz w:val="22"/>
          <w:szCs w:val="22"/>
        </w:rPr>
      </w:pPr>
      <w:r w:rsidRPr="00BD72FF">
        <w:rPr>
          <w:rFonts w:asciiTheme="minorHAnsi" w:eastAsia="Calibri" w:hAnsiTheme="minorHAnsi" w:cstheme="minorHAnsi"/>
          <w:sz w:val="22"/>
          <w:szCs w:val="22"/>
        </w:rPr>
        <w:t xml:space="preserve">The intention is that all remaining ESF funding from the £50m programme will be committed by 2019, with project activity to run for a maximum of three years.  </w:t>
      </w:r>
    </w:p>
    <w:p w14:paraId="7AC181CB" w14:textId="77777777" w:rsidR="00FD3E1B" w:rsidRPr="00BD72FF" w:rsidRDefault="00FD3E1B" w:rsidP="00FD3E1B">
      <w:pPr>
        <w:jc w:val="both"/>
        <w:rPr>
          <w:rFonts w:asciiTheme="minorHAnsi" w:eastAsia="Calibri" w:hAnsiTheme="minorHAnsi" w:cstheme="minorHAnsi"/>
          <w:sz w:val="22"/>
          <w:szCs w:val="22"/>
        </w:rPr>
      </w:pPr>
    </w:p>
    <w:p w14:paraId="6C9D2FFF" w14:textId="77777777" w:rsidR="00FD3E1B" w:rsidRPr="00BD72FF" w:rsidRDefault="00FD3E1B" w:rsidP="00FD3E1B">
      <w:pPr>
        <w:jc w:val="both"/>
        <w:rPr>
          <w:rFonts w:asciiTheme="minorHAnsi" w:eastAsia="Calibri" w:hAnsiTheme="minorHAnsi" w:cstheme="minorHAnsi"/>
          <w:sz w:val="22"/>
          <w:szCs w:val="22"/>
        </w:rPr>
      </w:pPr>
      <w:r w:rsidRPr="00BD72FF">
        <w:rPr>
          <w:rFonts w:asciiTheme="minorHAnsi" w:eastAsia="Calibri" w:hAnsiTheme="minorHAnsi" w:cstheme="minorHAnsi"/>
          <w:sz w:val="22"/>
          <w:szCs w:val="22"/>
        </w:rPr>
        <w:t xml:space="preserve">Applications will be encouraged from consortia or strategic partnership arrangements rather than large numbers of small projects.  </w:t>
      </w:r>
    </w:p>
    <w:p w14:paraId="65472F2A" w14:textId="77777777" w:rsidR="00FD3E1B" w:rsidRPr="00BD72FF" w:rsidRDefault="00FD3E1B" w:rsidP="00FD3E1B">
      <w:pPr>
        <w:jc w:val="both"/>
        <w:rPr>
          <w:rFonts w:asciiTheme="minorHAnsi" w:eastAsia="Calibri" w:hAnsiTheme="minorHAnsi" w:cstheme="minorHAnsi"/>
          <w:sz w:val="22"/>
          <w:szCs w:val="22"/>
        </w:rPr>
      </w:pPr>
    </w:p>
    <w:p w14:paraId="76E93CE4" w14:textId="77777777" w:rsidR="00FD3E1B" w:rsidRPr="00BD72FF" w:rsidRDefault="00FD3E1B" w:rsidP="00BD72FF">
      <w:pPr>
        <w:pStyle w:val="ListParagraph"/>
        <w:numPr>
          <w:ilvl w:val="0"/>
          <w:numId w:val="38"/>
        </w:numPr>
        <w:spacing w:after="160" w:line="259" w:lineRule="auto"/>
        <w:rPr>
          <w:rFonts w:eastAsia="Calibri" w:cstheme="minorHAnsi"/>
          <w:b/>
          <w:sz w:val="22"/>
          <w:szCs w:val="22"/>
        </w:rPr>
      </w:pPr>
      <w:r w:rsidRPr="00BD72FF">
        <w:rPr>
          <w:rFonts w:eastAsia="Calibri" w:cstheme="minorHAnsi"/>
          <w:b/>
          <w:sz w:val="22"/>
          <w:szCs w:val="22"/>
        </w:rPr>
        <w:t>Rural Development Programme for England / Rural Growth Fund</w:t>
      </w:r>
    </w:p>
    <w:p w14:paraId="6CD1E07A" w14:textId="77777777" w:rsidR="00FD3E1B" w:rsidRPr="00BD72FF" w:rsidRDefault="00FD3E1B" w:rsidP="00FD3E1B">
      <w:pPr>
        <w:spacing w:after="160" w:line="259" w:lineRule="auto"/>
        <w:jc w:val="both"/>
        <w:rPr>
          <w:rFonts w:asciiTheme="minorHAnsi" w:eastAsia="Calibri" w:hAnsiTheme="minorHAnsi" w:cstheme="minorHAnsi"/>
          <w:sz w:val="22"/>
          <w:szCs w:val="22"/>
        </w:rPr>
      </w:pPr>
      <w:r w:rsidRPr="00BD72FF">
        <w:rPr>
          <w:rFonts w:asciiTheme="minorHAnsi" w:eastAsia="Calibri" w:hAnsiTheme="minorHAnsi" w:cstheme="minorHAnsi"/>
          <w:sz w:val="22"/>
          <w:szCs w:val="22"/>
        </w:rPr>
        <w:t xml:space="preserve">From an allocation of £2.5m the RDPE fund has issued a call closing at the end of May 2018 in support of food processing, business support and tourism. Currently the food processing and business support funds are over-subscribed. However capital funding for tourism infrastructure was only 50% committed and includes ineligible bids. The ESIF Committee has therefore recommended that DEFRA redirect the remaining funds towards the business support programme that was approximately 50% over committed. </w:t>
      </w:r>
    </w:p>
    <w:p w14:paraId="28D693F8" w14:textId="77777777" w:rsidR="00FD3E1B" w:rsidRPr="00BD72FF" w:rsidRDefault="00FD3E1B" w:rsidP="00FD3E1B">
      <w:pPr>
        <w:spacing w:after="160" w:line="259" w:lineRule="auto"/>
        <w:jc w:val="both"/>
        <w:rPr>
          <w:rFonts w:asciiTheme="minorHAnsi" w:eastAsia="Calibri" w:hAnsiTheme="minorHAnsi" w:cstheme="minorHAnsi"/>
          <w:sz w:val="22"/>
          <w:szCs w:val="22"/>
        </w:rPr>
      </w:pPr>
      <w:r w:rsidRPr="00BD72FF">
        <w:rPr>
          <w:rFonts w:asciiTheme="minorHAnsi" w:eastAsia="Calibri" w:hAnsiTheme="minorHAnsi" w:cstheme="minorHAnsi"/>
          <w:sz w:val="22"/>
          <w:szCs w:val="22"/>
        </w:rPr>
        <w:t xml:space="preserve">With a view to supporting rural businesses in the future Cheshire and Warrington LEP has also been working with the Cheshire and Warrington Rural Strategy Board and partner LEPs to respond to the consultation on future (post Brexit) rural funding by the Department for Environment and Rural Affairs. The Common Agriculture Policy currently deploys around €28BN in the United Kingdom with approximately €22BN of this devoted to direct payments. England, Wales and Scotland currently have differing approaches to the management of these funds.   </w:t>
      </w:r>
    </w:p>
    <w:p w14:paraId="0FEDEE96" w14:textId="77777777" w:rsidR="00FD3E1B" w:rsidRPr="00BD72FF" w:rsidRDefault="00FD3E1B" w:rsidP="00FD3E1B">
      <w:pPr>
        <w:spacing w:after="160" w:line="259" w:lineRule="auto"/>
        <w:jc w:val="both"/>
        <w:rPr>
          <w:rFonts w:asciiTheme="minorHAnsi" w:eastAsia="Calibri" w:hAnsiTheme="minorHAnsi" w:cstheme="minorHAnsi"/>
          <w:b/>
          <w:sz w:val="22"/>
          <w:szCs w:val="22"/>
        </w:rPr>
      </w:pPr>
    </w:p>
    <w:p w14:paraId="276FE777" w14:textId="25860B1A" w:rsidR="00A558E5" w:rsidRPr="00BD72FF" w:rsidRDefault="00A558E5" w:rsidP="00FD3E1B">
      <w:pPr>
        <w:spacing w:after="160" w:line="259" w:lineRule="auto"/>
        <w:jc w:val="right"/>
        <w:rPr>
          <w:rFonts w:asciiTheme="minorHAnsi" w:eastAsia="Calibri" w:hAnsiTheme="minorHAnsi" w:cstheme="minorHAnsi"/>
          <w:sz w:val="22"/>
          <w:szCs w:val="22"/>
        </w:rPr>
      </w:pPr>
      <w:bookmarkStart w:id="1" w:name="_GoBack"/>
      <w:bookmarkEnd w:id="1"/>
    </w:p>
    <w:sectPr w:rsidR="00A558E5" w:rsidRPr="00BD72FF" w:rsidSect="00357D84">
      <w:headerReference w:type="default" r:id="rId10"/>
      <w:footerReference w:type="default" r:id="rId11"/>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34DF9" w14:textId="77777777" w:rsidR="008C2018" w:rsidRDefault="008C2018">
      <w:r>
        <w:separator/>
      </w:r>
    </w:p>
  </w:endnote>
  <w:endnote w:type="continuationSeparator" w:id="0">
    <w:p w14:paraId="6BDB231D" w14:textId="77777777" w:rsidR="008C2018" w:rsidRDefault="008C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F0BEC" w14:textId="77777777" w:rsidR="00E7449F" w:rsidRDefault="00E7449F">
    <w:pPr>
      <w:pStyle w:val="Footer"/>
      <w:jc w:val="center"/>
    </w:pPr>
    <w:r>
      <w:t xml:space="preserve">Page </w:t>
    </w:r>
    <w:r w:rsidR="00346227">
      <w:rPr>
        <w:b/>
        <w:bCs/>
      </w:rPr>
      <w:fldChar w:fldCharType="begin"/>
    </w:r>
    <w:r>
      <w:rPr>
        <w:b/>
        <w:bCs/>
      </w:rPr>
      <w:instrText xml:space="preserve"> PAGE </w:instrText>
    </w:r>
    <w:r w:rsidR="00346227">
      <w:rPr>
        <w:b/>
        <w:bCs/>
      </w:rPr>
      <w:fldChar w:fldCharType="separate"/>
    </w:r>
    <w:r w:rsidR="00D0667D">
      <w:rPr>
        <w:b/>
        <w:bCs/>
        <w:noProof/>
      </w:rPr>
      <w:t>1</w:t>
    </w:r>
    <w:r w:rsidR="00346227">
      <w:rPr>
        <w:b/>
        <w:bCs/>
      </w:rPr>
      <w:fldChar w:fldCharType="end"/>
    </w:r>
    <w:r>
      <w:t xml:space="preserve"> of </w:t>
    </w:r>
    <w:r w:rsidR="00346227">
      <w:rPr>
        <w:b/>
        <w:bCs/>
      </w:rPr>
      <w:fldChar w:fldCharType="begin"/>
    </w:r>
    <w:r>
      <w:rPr>
        <w:b/>
        <w:bCs/>
      </w:rPr>
      <w:instrText xml:space="preserve"> NUMPAGES  </w:instrText>
    </w:r>
    <w:r w:rsidR="00346227">
      <w:rPr>
        <w:b/>
        <w:bCs/>
      </w:rPr>
      <w:fldChar w:fldCharType="separate"/>
    </w:r>
    <w:r w:rsidR="00D0667D">
      <w:rPr>
        <w:b/>
        <w:bCs/>
        <w:noProof/>
      </w:rPr>
      <w:t>6</w:t>
    </w:r>
    <w:r w:rsidR="00346227">
      <w:rPr>
        <w:b/>
        <w:bCs/>
      </w:rPr>
      <w:fldChar w:fldCharType="end"/>
    </w:r>
  </w:p>
  <w:p w14:paraId="4DA94974" w14:textId="77777777" w:rsidR="00E7449F" w:rsidRDefault="00E7449F">
    <w:pPr>
      <w:pStyle w:val="Footer"/>
    </w:pPr>
  </w:p>
  <w:p w14:paraId="7273D67B" w14:textId="77777777" w:rsidR="0059111D" w:rsidRDefault="005911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CF600" w14:textId="77777777" w:rsidR="008C2018" w:rsidRDefault="008C2018">
      <w:r>
        <w:separator/>
      </w:r>
    </w:p>
  </w:footnote>
  <w:footnote w:type="continuationSeparator" w:id="0">
    <w:p w14:paraId="0FAAAB94" w14:textId="77777777" w:rsidR="008C2018" w:rsidRDefault="008C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F7630" w14:textId="77777777" w:rsidR="007740A9" w:rsidRDefault="007740A9" w:rsidP="007740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338"/>
    <w:multiLevelType w:val="hybridMultilevel"/>
    <w:tmpl w:val="1CD0E1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3D5358"/>
    <w:multiLevelType w:val="hybridMultilevel"/>
    <w:tmpl w:val="8E32BE3E"/>
    <w:lvl w:ilvl="0" w:tplc="113C72E0">
      <w:start w:val="1"/>
      <w:numFmt w:val="decimal"/>
      <w:pStyle w:val="BodyText2"/>
      <w:lvlText w:val="%1."/>
      <w:lvlJc w:val="left"/>
      <w:pPr>
        <w:tabs>
          <w:tab w:val="num" w:pos="0"/>
        </w:tabs>
        <w:ind w:left="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25602"/>
    <w:multiLevelType w:val="hybridMultilevel"/>
    <w:tmpl w:val="B88C8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6B03C1"/>
    <w:multiLevelType w:val="hybridMultilevel"/>
    <w:tmpl w:val="4918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D2BA1"/>
    <w:multiLevelType w:val="multilevel"/>
    <w:tmpl w:val="3960706C"/>
    <w:lvl w:ilvl="0">
      <w:start w:val="3"/>
      <w:numFmt w:val="decimal"/>
      <w:lvlText w:val="%1."/>
      <w:lvlJc w:val="left"/>
      <w:pPr>
        <w:ind w:left="465" w:hanging="46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04C29E5"/>
    <w:multiLevelType w:val="hybridMultilevel"/>
    <w:tmpl w:val="E78EBCCE"/>
    <w:lvl w:ilvl="0" w:tplc="4FF84B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214A9"/>
    <w:multiLevelType w:val="hybridMultilevel"/>
    <w:tmpl w:val="74BE3904"/>
    <w:lvl w:ilvl="0" w:tplc="4FF84B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9D5159"/>
    <w:multiLevelType w:val="hybridMultilevel"/>
    <w:tmpl w:val="1F30CB54"/>
    <w:lvl w:ilvl="0" w:tplc="FF2AA2EC">
      <w:start w:val="4"/>
      <w:numFmt w:val="bullet"/>
      <w:lvlText w:val="-"/>
      <w:lvlJc w:val="left"/>
      <w:pPr>
        <w:ind w:left="1440" w:hanging="360"/>
      </w:pPr>
      <w:rPr>
        <w:rFonts w:ascii="Arial" w:eastAsia="Times New Roman" w:hAnsi="Arial" w:cs="Aria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7757E72"/>
    <w:multiLevelType w:val="hybridMultilevel"/>
    <w:tmpl w:val="77160D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E01FAE"/>
    <w:multiLevelType w:val="hybridMultilevel"/>
    <w:tmpl w:val="A216A6D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2EF81097"/>
    <w:multiLevelType w:val="hybridMultilevel"/>
    <w:tmpl w:val="7DCA2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B629E"/>
    <w:multiLevelType w:val="hybridMultilevel"/>
    <w:tmpl w:val="4BA42340"/>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359F4C74"/>
    <w:multiLevelType w:val="hybridMultilevel"/>
    <w:tmpl w:val="8B4E9E30"/>
    <w:lvl w:ilvl="0" w:tplc="CED2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051830"/>
    <w:multiLevelType w:val="multilevel"/>
    <w:tmpl w:val="D14A7DCE"/>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D187903"/>
    <w:multiLevelType w:val="hybridMultilevel"/>
    <w:tmpl w:val="DFF6A0E8"/>
    <w:lvl w:ilvl="0" w:tplc="FF2AA2EC">
      <w:start w:val="4"/>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5" w15:restartNumberingAfterBreak="0">
    <w:nsid w:val="43B95B16"/>
    <w:multiLevelType w:val="multilevel"/>
    <w:tmpl w:val="D14A7DCE"/>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BE2122"/>
    <w:multiLevelType w:val="hybridMultilevel"/>
    <w:tmpl w:val="8314092C"/>
    <w:lvl w:ilvl="0" w:tplc="4FF84B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7875C15"/>
    <w:multiLevelType w:val="hybridMultilevel"/>
    <w:tmpl w:val="D4404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9F251A"/>
    <w:multiLevelType w:val="hybridMultilevel"/>
    <w:tmpl w:val="41C46B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BFC4ECD"/>
    <w:multiLevelType w:val="hybridMultilevel"/>
    <w:tmpl w:val="A5F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04B42"/>
    <w:multiLevelType w:val="hybridMultilevel"/>
    <w:tmpl w:val="BA0276D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EE5536"/>
    <w:multiLevelType w:val="multilevel"/>
    <w:tmpl w:val="A89E42BC"/>
    <w:lvl w:ilvl="0">
      <w:start w:val="4"/>
      <w:numFmt w:val="decimal"/>
      <w:lvlText w:val="%1."/>
      <w:lvlJc w:val="left"/>
      <w:pPr>
        <w:ind w:left="465" w:hanging="46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7AC1BBB"/>
    <w:multiLevelType w:val="hybridMultilevel"/>
    <w:tmpl w:val="B1FC9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6376D5"/>
    <w:multiLevelType w:val="hybridMultilevel"/>
    <w:tmpl w:val="44024F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134B63"/>
    <w:multiLevelType w:val="hybridMultilevel"/>
    <w:tmpl w:val="C1E60938"/>
    <w:lvl w:ilvl="0" w:tplc="CED2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2B02C0"/>
    <w:multiLevelType w:val="hybridMultilevel"/>
    <w:tmpl w:val="404CF6C0"/>
    <w:lvl w:ilvl="0" w:tplc="FF2AA2EC">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C739F"/>
    <w:multiLevelType w:val="hybridMultilevel"/>
    <w:tmpl w:val="EABE2574"/>
    <w:lvl w:ilvl="0" w:tplc="CED20A4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A45D02"/>
    <w:multiLevelType w:val="hybridMultilevel"/>
    <w:tmpl w:val="DD6C3884"/>
    <w:lvl w:ilvl="0" w:tplc="FF2AA2E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682737"/>
    <w:multiLevelType w:val="hybridMultilevel"/>
    <w:tmpl w:val="3B160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826986"/>
    <w:multiLevelType w:val="hybridMultilevel"/>
    <w:tmpl w:val="2A56B3F6"/>
    <w:lvl w:ilvl="0" w:tplc="4FF8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9202D2"/>
    <w:multiLevelType w:val="hybridMultilevel"/>
    <w:tmpl w:val="AE160ACE"/>
    <w:lvl w:ilvl="0" w:tplc="FA6EDFE2">
      <w:start w:val="1"/>
      <w:numFmt w:val="bullet"/>
      <w:lvlText w:val="•"/>
      <w:lvlJc w:val="left"/>
      <w:pPr>
        <w:tabs>
          <w:tab w:val="num" w:pos="720"/>
        </w:tabs>
        <w:ind w:left="720" w:hanging="360"/>
      </w:pPr>
      <w:rPr>
        <w:rFonts w:ascii="Arial" w:hAnsi="Arial" w:hint="default"/>
      </w:rPr>
    </w:lvl>
    <w:lvl w:ilvl="1" w:tplc="8E027DE8" w:tentative="1">
      <w:start w:val="1"/>
      <w:numFmt w:val="bullet"/>
      <w:lvlText w:val="•"/>
      <w:lvlJc w:val="left"/>
      <w:pPr>
        <w:tabs>
          <w:tab w:val="num" w:pos="1440"/>
        </w:tabs>
        <w:ind w:left="1440" w:hanging="360"/>
      </w:pPr>
      <w:rPr>
        <w:rFonts w:ascii="Arial" w:hAnsi="Arial" w:hint="default"/>
      </w:rPr>
    </w:lvl>
    <w:lvl w:ilvl="2" w:tplc="939ADF20" w:tentative="1">
      <w:start w:val="1"/>
      <w:numFmt w:val="bullet"/>
      <w:lvlText w:val="•"/>
      <w:lvlJc w:val="left"/>
      <w:pPr>
        <w:tabs>
          <w:tab w:val="num" w:pos="2160"/>
        </w:tabs>
        <w:ind w:left="2160" w:hanging="360"/>
      </w:pPr>
      <w:rPr>
        <w:rFonts w:ascii="Arial" w:hAnsi="Arial" w:hint="default"/>
      </w:rPr>
    </w:lvl>
    <w:lvl w:ilvl="3" w:tplc="6CEAD764" w:tentative="1">
      <w:start w:val="1"/>
      <w:numFmt w:val="bullet"/>
      <w:lvlText w:val="•"/>
      <w:lvlJc w:val="left"/>
      <w:pPr>
        <w:tabs>
          <w:tab w:val="num" w:pos="2880"/>
        </w:tabs>
        <w:ind w:left="2880" w:hanging="360"/>
      </w:pPr>
      <w:rPr>
        <w:rFonts w:ascii="Arial" w:hAnsi="Arial" w:hint="default"/>
      </w:rPr>
    </w:lvl>
    <w:lvl w:ilvl="4" w:tplc="AAE46D90" w:tentative="1">
      <w:start w:val="1"/>
      <w:numFmt w:val="bullet"/>
      <w:lvlText w:val="•"/>
      <w:lvlJc w:val="left"/>
      <w:pPr>
        <w:tabs>
          <w:tab w:val="num" w:pos="3600"/>
        </w:tabs>
        <w:ind w:left="3600" w:hanging="360"/>
      </w:pPr>
      <w:rPr>
        <w:rFonts w:ascii="Arial" w:hAnsi="Arial" w:hint="default"/>
      </w:rPr>
    </w:lvl>
    <w:lvl w:ilvl="5" w:tplc="AE6627AC" w:tentative="1">
      <w:start w:val="1"/>
      <w:numFmt w:val="bullet"/>
      <w:lvlText w:val="•"/>
      <w:lvlJc w:val="left"/>
      <w:pPr>
        <w:tabs>
          <w:tab w:val="num" w:pos="4320"/>
        </w:tabs>
        <w:ind w:left="4320" w:hanging="360"/>
      </w:pPr>
      <w:rPr>
        <w:rFonts w:ascii="Arial" w:hAnsi="Arial" w:hint="default"/>
      </w:rPr>
    </w:lvl>
    <w:lvl w:ilvl="6" w:tplc="52724FC4" w:tentative="1">
      <w:start w:val="1"/>
      <w:numFmt w:val="bullet"/>
      <w:lvlText w:val="•"/>
      <w:lvlJc w:val="left"/>
      <w:pPr>
        <w:tabs>
          <w:tab w:val="num" w:pos="5040"/>
        </w:tabs>
        <w:ind w:left="5040" w:hanging="360"/>
      </w:pPr>
      <w:rPr>
        <w:rFonts w:ascii="Arial" w:hAnsi="Arial" w:hint="default"/>
      </w:rPr>
    </w:lvl>
    <w:lvl w:ilvl="7" w:tplc="8AD44AC8" w:tentative="1">
      <w:start w:val="1"/>
      <w:numFmt w:val="bullet"/>
      <w:lvlText w:val="•"/>
      <w:lvlJc w:val="left"/>
      <w:pPr>
        <w:tabs>
          <w:tab w:val="num" w:pos="5760"/>
        </w:tabs>
        <w:ind w:left="5760" w:hanging="360"/>
      </w:pPr>
      <w:rPr>
        <w:rFonts w:ascii="Arial" w:hAnsi="Arial" w:hint="default"/>
      </w:rPr>
    </w:lvl>
    <w:lvl w:ilvl="8" w:tplc="52C4A70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4E488E"/>
    <w:multiLevelType w:val="hybridMultilevel"/>
    <w:tmpl w:val="7D9AE4A8"/>
    <w:lvl w:ilvl="0" w:tplc="AE72F352">
      <w:start w:val="1"/>
      <w:numFmt w:val="bullet"/>
      <w:lvlText w:val="•"/>
      <w:lvlJc w:val="left"/>
      <w:pPr>
        <w:tabs>
          <w:tab w:val="num" w:pos="720"/>
        </w:tabs>
        <w:ind w:left="720" w:hanging="360"/>
      </w:pPr>
      <w:rPr>
        <w:rFonts w:ascii="Arial" w:hAnsi="Arial" w:hint="default"/>
      </w:rPr>
    </w:lvl>
    <w:lvl w:ilvl="1" w:tplc="327C37CA" w:tentative="1">
      <w:start w:val="1"/>
      <w:numFmt w:val="bullet"/>
      <w:lvlText w:val="•"/>
      <w:lvlJc w:val="left"/>
      <w:pPr>
        <w:tabs>
          <w:tab w:val="num" w:pos="1440"/>
        </w:tabs>
        <w:ind w:left="1440" w:hanging="360"/>
      </w:pPr>
      <w:rPr>
        <w:rFonts w:ascii="Arial" w:hAnsi="Arial" w:hint="default"/>
      </w:rPr>
    </w:lvl>
    <w:lvl w:ilvl="2" w:tplc="A312625E" w:tentative="1">
      <w:start w:val="1"/>
      <w:numFmt w:val="bullet"/>
      <w:lvlText w:val="•"/>
      <w:lvlJc w:val="left"/>
      <w:pPr>
        <w:tabs>
          <w:tab w:val="num" w:pos="2160"/>
        </w:tabs>
        <w:ind w:left="2160" w:hanging="360"/>
      </w:pPr>
      <w:rPr>
        <w:rFonts w:ascii="Arial" w:hAnsi="Arial" w:hint="default"/>
      </w:rPr>
    </w:lvl>
    <w:lvl w:ilvl="3" w:tplc="0B30A45C" w:tentative="1">
      <w:start w:val="1"/>
      <w:numFmt w:val="bullet"/>
      <w:lvlText w:val="•"/>
      <w:lvlJc w:val="left"/>
      <w:pPr>
        <w:tabs>
          <w:tab w:val="num" w:pos="2880"/>
        </w:tabs>
        <w:ind w:left="2880" w:hanging="360"/>
      </w:pPr>
      <w:rPr>
        <w:rFonts w:ascii="Arial" w:hAnsi="Arial" w:hint="default"/>
      </w:rPr>
    </w:lvl>
    <w:lvl w:ilvl="4" w:tplc="E73C8C80" w:tentative="1">
      <w:start w:val="1"/>
      <w:numFmt w:val="bullet"/>
      <w:lvlText w:val="•"/>
      <w:lvlJc w:val="left"/>
      <w:pPr>
        <w:tabs>
          <w:tab w:val="num" w:pos="3600"/>
        </w:tabs>
        <w:ind w:left="3600" w:hanging="360"/>
      </w:pPr>
      <w:rPr>
        <w:rFonts w:ascii="Arial" w:hAnsi="Arial" w:hint="default"/>
      </w:rPr>
    </w:lvl>
    <w:lvl w:ilvl="5" w:tplc="9F26E448" w:tentative="1">
      <w:start w:val="1"/>
      <w:numFmt w:val="bullet"/>
      <w:lvlText w:val="•"/>
      <w:lvlJc w:val="left"/>
      <w:pPr>
        <w:tabs>
          <w:tab w:val="num" w:pos="4320"/>
        </w:tabs>
        <w:ind w:left="4320" w:hanging="360"/>
      </w:pPr>
      <w:rPr>
        <w:rFonts w:ascii="Arial" w:hAnsi="Arial" w:hint="default"/>
      </w:rPr>
    </w:lvl>
    <w:lvl w:ilvl="6" w:tplc="26DE68F6" w:tentative="1">
      <w:start w:val="1"/>
      <w:numFmt w:val="bullet"/>
      <w:lvlText w:val="•"/>
      <w:lvlJc w:val="left"/>
      <w:pPr>
        <w:tabs>
          <w:tab w:val="num" w:pos="5040"/>
        </w:tabs>
        <w:ind w:left="5040" w:hanging="360"/>
      </w:pPr>
      <w:rPr>
        <w:rFonts w:ascii="Arial" w:hAnsi="Arial" w:hint="default"/>
      </w:rPr>
    </w:lvl>
    <w:lvl w:ilvl="7" w:tplc="12405F2A" w:tentative="1">
      <w:start w:val="1"/>
      <w:numFmt w:val="bullet"/>
      <w:lvlText w:val="•"/>
      <w:lvlJc w:val="left"/>
      <w:pPr>
        <w:tabs>
          <w:tab w:val="num" w:pos="5760"/>
        </w:tabs>
        <w:ind w:left="5760" w:hanging="360"/>
      </w:pPr>
      <w:rPr>
        <w:rFonts w:ascii="Arial" w:hAnsi="Arial" w:hint="default"/>
      </w:rPr>
    </w:lvl>
    <w:lvl w:ilvl="8" w:tplc="21BC959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A7211E"/>
    <w:multiLevelType w:val="multilevel"/>
    <w:tmpl w:val="D14A7DCE"/>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25905D4"/>
    <w:multiLevelType w:val="hybridMultilevel"/>
    <w:tmpl w:val="B11C2250"/>
    <w:lvl w:ilvl="0" w:tplc="FF2AA2EC">
      <w:start w:val="4"/>
      <w:numFmt w:val="bullet"/>
      <w:lvlText w:val="-"/>
      <w:lvlJc w:val="left"/>
      <w:pPr>
        <w:ind w:left="72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375E9B"/>
    <w:multiLevelType w:val="hybridMultilevel"/>
    <w:tmpl w:val="5FC8F73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4B05FF"/>
    <w:multiLevelType w:val="hybridMultilevel"/>
    <w:tmpl w:val="C3C01A46"/>
    <w:lvl w:ilvl="0" w:tplc="FF2AA2EC">
      <w:start w:val="4"/>
      <w:numFmt w:val="bullet"/>
      <w:lvlText w:val="-"/>
      <w:lvlJc w:val="left"/>
      <w:pPr>
        <w:ind w:left="1499" w:hanging="360"/>
      </w:pPr>
      <w:rPr>
        <w:rFonts w:ascii="Arial" w:eastAsia="Times New Roman" w:hAnsi="Arial" w:cs="Arial" w:hint="default"/>
      </w:rPr>
    </w:lvl>
    <w:lvl w:ilvl="1" w:tplc="08090003" w:tentative="1">
      <w:start w:val="1"/>
      <w:numFmt w:val="bullet"/>
      <w:lvlText w:val="o"/>
      <w:lvlJc w:val="left"/>
      <w:pPr>
        <w:ind w:left="2219" w:hanging="360"/>
      </w:pPr>
      <w:rPr>
        <w:rFonts w:ascii="Courier New" w:hAnsi="Courier New" w:cs="Courier New" w:hint="default"/>
      </w:rPr>
    </w:lvl>
    <w:lvl w:ilvl="2" w:tplc="08090005" w:tentative="1">
      <w:start w:val="1"/>
      <w:numFmt w:val="bullet"/>
      <w:lvlText w:val=""/>
      <w:lvlJc w:val="left"/>
      <w:pPr>
        <w:ind w:left="2939" w:hanging="360"/>
      </w:pPr>
      <w:rPr>
        <w:rFonts w:ascii="Wingdings" w:hAnsi="Wingdings" w:hint="default"/>
      </w:rPr>
    </w:lvl>
    <w:lvl w:ilvl="3" w:tplc="08090001" w:tentative="1">
      <w:start w:val="1"/>
      <w:numFmt w:val="bullet"/>
      <w:lvlText w:val=""/>
      <w:lvlJc w:val="left"/>
      <w:pPr>
        <w:ind w:left="3659" w:hanging="360"/>
      </w:pPr>
      <w:rPr>
        <w:rFonts w:ascii="Symbol" w:hAnsi="Symbol" w:hint="default"/>
      </w:rPr>
    </w:lvl>
    <w:lvl w:ilvl="4" w:tplc="08090003" w:tentative="1">
      <w:start w:val="1"/>
      <w:numFmt w:val="bullet"/>
      <w:lvlText w:val="o"/>
      <w:lvlJc w:val="left"/>
      <w:pPr>
        <w:ind w:left="4379" w:hanging="360"/>
      </w:pPr>
      <w:rPr>
        <w:rFonts w:ascii="Courier New" w:hAnsi="Courier New" w:cs="Courier New" w:hint="default"/>
      </w:rPr>
    </w:lvl>
    <w:lvl w:ilvl="5" w:tplc="08090005" w:tentative="1">
      <w:start w:val="1"/>
      <w:numFmt w:val="bullet"/>
      <w:lvlText w:val=""/>
      <w:lvlJc w:val="left"/>
      <w:pPr>
        <w:ind w:left="5099" w:hanging="360"/>
      </w:pPr>
      <w:rPr>
        <w:rFonts w:ascii="Wingdings" w:hAnsi="Wingdings" w:hint="default"/>
      </w:rPr>
    </w:lvl>
    <w:lvl w:ilvl="6" w:tplc="08090001" w:tentative="1">
      <w:start w:val="1"/>
      <w:numFmt w:val="bullet"/>
      <w:lvlText w:val=""/>
      <w:lvlJc w:val="left"/>
      <w:pPr>
        <w:ind w:left="5819" w:hanging="360"/>
      </w:pPr>
      <w:rPr>
        <w:rFonts w:ascii="Symbol" w:hAnsi="Symbol" w:hint="default"/>
      </w:rPr>
    </w:lvl>
    <w:lvl w:ilvl="7" w:tplc="08090003" w:tentative="1">
      <w:start w:val="1"/>
      <w:numFmt w:val="bullet"/>
      <w:lvlText w:val="o"/>
      <w:lvlJc w:val="left"/>
      <w:pPr>
        <w:ind w:left="6539" w:hanging="360"/>
      </w:pPr>
      <w:rPr>
        <w:rFonts w:ascii="Courier New" w:hAnsi="Courier New" w:cs="Courier New" w:hint="default"/>
      </w:rPr>
    </w:lvl>
    <w:lvl w:ilvl="8" w:tplc="08090005" w:tentative="1">
      <w:start w:val="1"/>
      <w:numFmt w:val="bullet"/>
      <w:lvlText w:val=""/>
      <w:lvlJc w:val="left"/>
      <w:pPr>
        <w:ind w:left="7259" w:hanging="360"/>
      </w:pPr>
      <w:rPr>
        <w:rFonts w:ascii="Wingdings" w:hAnsi="Wingdings" w:hint="default"/>
      </w:rPr>
    </w:lvl>
  </w:abstractNum>
  <w:abstractNum w:abstractNumId="36" w15:restartNumberingAfterBreak="0">
    <w:nsid w:val="7A572D87"/>
    <w:multiLevelType w:val="multilevel"/>
    <w:tmpl w:val="D14A7DCE"/>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E1415E1"/>
    <w:multiLevelType w:val="hybridMultilevel"/>
    <w:tmpl w:val="A94444A6"/>
    <w:lvl w:ilvl="0" w:tplc="02B6824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9"/>
  </w:num>
  <w:num w:numId="3">
    <w:abstractNumId w:val="28"/>
  </w:num>
  <w:num w:numId="4">
    <w:abstractNumId w:val="22"/>
  </w:num>
  <w:num w:numId="5">
    <w:abstractNumId w:val="3"/>
  </w:num>
  <w:num w:numId="6">
    <w:abstractNumId w:val="15"/>
  </w:num>
  <w:num w:numId="7">
    <w:abstractNumId w:val="35"/>
  </w:num>
  <w:num w:numId="8">
    <w:abstractNumId w:val="14"/>
  </w:num>
  <w:num w:numId="9">
    <w:abstractNumId w:val="31"/>
  </w:num>
  <w:num w:numId="10">
    <w:abstractNumId w:val="30"/>
  </w:num>
  <w:num w:numId="11">
    <w:abstractNumId w:val="11"/>
  </w:num>
  <w:num w:numId="12">
    <w:abstractNumId w:val="18"/>
  </w:num>
  <w:num w:numId="13">
    <w:abstractNumId w:val="17"/>
  </w:num>
  <w:num w:numId="14">
    <w:abstractNumId w:val="21"/>
  </w:num>
  <w:num w:numId="15">
    <w:abstractNumId w:val="23"/>
  </w:num>
  <w:num w:numId="16">
    <w:abstractNumId w:val="27"/>
  </w:num>
  <w:num w:numId="17">
    <w:abstractNumId w:val="36"/>
  </w:num>
  <w:num w:numId="18">
    <w:abstractNumId w:val="32"/>
  </w:num>
  <w:num w:numId="19">
    <w:abstractNumId w:val="13"/>
  </w:num>
  <w:num w:numId="20">
    <w:abstractNumId w:val="4"/>
  </w:num>
  <w:num w:numId="21">
    <w:abstractNumId w:val="24"/>
  </w:num>
  <w:num w:numId="22">
    <w:abstractNumId w:val="37"/>
  </w:num>
  <w:num w:numId="23">
    <w:abstractNumId w:val="7"/>
  </w:num>
  <w:num w:numId="24">
    <w:abstractNumId w:val="33"/>
  </w:num>
  <w:num w:numId="25">
    <w:abstractNumId w:val="34"/>
  </w:num>
  <w:num w:numId="26">
    <w:abstractNumId w:val="25"/>
  </w:num>
  <w:num w:numId="27">
    <w:abstractNumId w:val="26"/>
  </w:num>
  <w:num w:numId="28">
    <w:abstractNumId w:val="12"/>
  </w:num>
  <w:num w:numId="29">
    <w:abstractNumId w:val="16"/>
  </w:num>
  <w:num w:numId="30">
    <w:abstractNumId w:val="6"/>
  </w:num>
  <w:num w:numId="31">
    <w:abstractNumId w:val="5"/>
  </w:num>
  <w:num w:numId="32">
    <w:abstractNumId w:val="29"/>
  </w:num>
  <w:num w:numId="33">
    <w:abstractNumId w:val="0"/>
  </w:num>
  <w:num w:numId="34">
    <w:abstractNumId w:val="2"/>
  </w:num>
  <w:num w:numId="35">
    <w:abstractNumId w:val="8"/>
  </w:num>
  <w:num w:numId="36">
    <w:abstractNumId w:val="20"/>
  </w:num>
  <w:num w:numId="37">
    <w:abstractNumId w:val="9"/>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0D"/>
    <w:rsid w:val="000065F9"/>
    <w:rsid w:val="00007AC5"/>
    <w:rsid w:val="0001561D"/>
    <w:rsid w:val="0001562D"/>
    <w:rsid w:val="0001742B"/>
    <w:rsid w:val="00022A05"/>
    <w:rsid w:val="00025467"/>
    <w:rsid w:val="00033A4E"/>
    <w:rsid w:val="00033B85"/>
    <w:rsid w:val="00034C4B"/>
    <w:rsid w:val="000504C9"/>
    <w:rsid w:val="000505B9"/>
    <w:rsid w:val="00054424"/>
    <w:rsid w:val="00064E99"/>
    <w:rsid w:val="00066431"/>
    <w:rsid w:val="00074E70"/>
    <w:rsid w:val="000821F2"/>
    <w:rsid w:val="00091E96"/>
    <w:rsid w:val="00097670"/>
    <w:rsid w:val="000A43D7"/>
    <w:rsid w:val="000A484C"/>
    <w:rsid w:val="000B736C"/>
    <w:rsid w:val="000C2F2D"/>
    <w:rsid w:val="000E793E"/>
    <w:rsid w:val="000F15FA"/>
    <w:rsid w:val="000F2853"/>
    <w:rsid w:val="00107E76"/>
    <w:rsid w:val="00110568"/>
    <w:rsid w:val="0011446E"/>
    <w:rsid w:val="0011776E"/>
    <w:rsid w:val="0012023F"/>
    <w:rsid w:val="00124CE8"/>
    <w:rsid w:val="00125D73"/>
    <w:rsid w:val="00127FFC"/>
    <w:rsid w:val="00131ED7"/>
    <w:rsid w:val="00135174"/>
    <w:rsid w:val="00140B0D"/>
    <w:rsid w:val="001449D7"/>
    <w:rsid w:val="00152717"/>
    <w:rsid w:val="00154AE9"/>
    <w:rsid w:val="0015525D"/>
    <w:rsid w:val="00164DF7"/>
    <w:rsid w:val="001663CA"/>
    <w:rsid w:val="00167551"/>
    <w:rsid w:val="00167E21"/>
    <w:rsid w:val="0018295B"/>
    <w:rsid w:val="00184A9E"/>
    <w:rsid w:val="0019102C"/>
    <w:rsid w:val="0019365C"/>
    <w:rsid w:val="001A46A5"/>
    <w:rsid w:val="001A4CBB"/>
    <w:rsid w:val="001B0C22"/>
    <w:rsid w:val="001C3713"/>
    <w:rsid w:val="001C3A17"/>
    <w:rsid w:val="001C50C6"/>
    <w:rsid w:val="001C7B14"/>
    <w:rsid w:val="001D2AEB"/>
    <w:rsid w:val="001D6CEC"/>
    <w:rsid w:val="001E039A"/>
    <w:rsid w:val="001E0A71"/>
    <w:rsid w:val="001F239E"/>
    <w:rsid w:val="001F366D"/>
    <w:rsid w:val="001F6EC6"/>
    <w:rsid w:val="00204AD2"/>
    <w:rsid w:val="00204BD3"/>
    <w:rsid w:val="00205843"/>
    <w:rsid w:val="00217A06"/>
    <w:rsid w:val="00221898"/>
    <w:rsid w:val="00222E0A"/>
    <w:rsid w:val="002356BC"/>
    <w:rsid w:val="002443D2"/>
    <w:rsid w:val="00244911"/>
    <w:rsid w:val="00245202"/>
    <w:rsid w:val="00252C16"/>
    <w:rsid w:val="00254F28"/>
    <w:rsid w:val="0025616D"/>
    <w:rsid w:val="002726F3"/>
    <w:rsid w:val="0027329A"/>
    <w:rsid w:val="00273F96"/>
    <w:rsid w:val="0028526E"/>
    <w:rsid w:val="002900D7"/>
    <w:rsid w:val="00290E89"/>
    <w:rsid w:val="00294F65"/>
    <w:rsid w:val="002971B4"/>
    <w:rsid w:val="0029722A"/>
    <w:rsid w:val="002A498E"/>
    <w:rsid w:val="002A50E5"/>
    <w:rsid w:val="002C069A"/>
    <w:rsid w:val="002C66ED"/>
    <w:rsid w:val="002D59EA"/>
    <w:rsid w:val="002E51DE"/>
    <w:rsid w:val="002E5539"/>
    <w:rsid w:val="002F3009"/>
    <w:rsid w:val="00307FA3"/>
    <w:rsid w:val="003224E9"/>
    <w:rsid w:val="00322DE3"/>
    <w:rsid w:val="00324823"/>
    <w:rsid w:val="00327AA6"/>
    <w:rsid w:val="003356EA"/>
    <w:rsid w:val="00336941"/>
    <w:rsid w:val="00341011"/>
    <w:rsid w:val="0034521E"/>
    <w:rsid w:val="00345DF5"/>
    <w:rsid w:val="00346227"/>
    <w:rsid w:val="003543D4"/>
    <w:rsid w:val="00357D84"/>
    <w:rsid w:val="0036446A"/>
    <w:rsid w:val="00366BF8"/>
    <w:rsid w:val="00367278"/>
    <w:rsid w:val="0037432A"/>
    <w:rsid w:val="0037724E"/>
    <w:rsid w:val="00380718"/>
    <w:rsid w:val="00380EBC"/>
    <w:rsid w:val="00382E88"/>
    <w:rsid w:val="0038705A"/>
    <w:rsid w:val="003A3413"/>
    <w:rsid w:val="003A39B6"/>
    <w:rsid w:val="003B7632"/>
    <w:rsid w:val="003C0679"/>
    <w:rsid w:val="003C0C44"/>
    <w:rsid w:val="003C1BEF"/>
    <w:rsid w:val="003C485A"/>
    <w:rsid w:val="003C7984"/>
    <w:rsid w:val="003D1F8B"/>
    <w:rsid w:val="003D2126"/>
    <w:rsid w:val="003D2347"/>
    <w:rsid w:val="003D6F4F"/>
    <w:rsid w:val="003F779D"/>
    <w:rsid w:val="00405639"/>
    <w:rsid w:val="00407CA4"/>
    <w:rsid w:val="004216FF"/>
    <w:rsid w:val="00421CF5"/>
    <w:rsid w:val="004263B2"/>
    <w:rsid w:val="004269EF"/>
    <w:rsid w:val="00433466"/>
    <w:rsid w:val="00433E24"/>
    <w:rsid w:val="00436E40"/>
    <w:rsid w:val="00437922"/>
    <w:rsid w:val="0044594D"/>
    <w:rsid w:val="00450713"/>
    <w:rsid w:val="004605F6"/>
    <w:rsid w:val="00461B4A"/>
    <w:rsid w:val="00470160"/>
    <w:rsid w:val="00476680"/>
    <w:rsid w:val="00483D74"/>
    <w:rsid w:val="00491DD5"/>
    <w:rsid w:val="00496116"/>
    <w:rsid w:val="004A2B1D"/>
    <w:rsid w:val="004A32C1"/>
    <w:rsid w:val="004A44C2"/>
    <w:rsid w:val="004A4A6F"/>
    <w:rsid w:val="004B5B0C"/>
    <w:rsid w:val="004B66DA"/>
    <w:rsid w:val="004C4FE6"/>
    <w:rsid w:val="004D1CAB"/>
    <w:rsid w:val="004D4D03"/>
    <w:rsid w:val="004D4D9D"/>
    <w:rsid w:val="004E7CE9"/>
    <w:rsid w:val="004F0679"/>
    <w:rsid w:val="004F1259"/>
    <w:rsid w:val="004F5B9B"/>
    <w:rsid w:val="004F63EC"/>
    <w:rsid w:val="00505749"/>
    <w:rsid w:val="0051023E"/>
    <w:rsid w:val="00521D05"/>
    <w:rsid w:val="00524096"/>
    <w:rsid w:val="00531EBC"/>
    <w:rsid w:val="00533238"/>
    <w:rsid w:val="00547E4A"/>
    <w:rsid w:val="005529E2"/>
    <w:rsid w:val="0056163D"/>
    <w:rsid w:val="00563689"/>
    <w:rsid w:val="00564877"/>
    <w:rsid w:val="005673F8"/>
    <w:rsid w:val="00570AF6"/>
    <w:rsid w:val="00571DF6"/>
    <w:rsid w:val="00581E6A"/>
    <w:rsid w:val="0059111D"/>
    <w:rsid w:val="00597375"/>
    <w:rsid w:val="005A65EA"/>
    <w:rsid w:val="005A6B94"/>
    <w:rsid w:val="005A79F6"/>
    <w:rsid w:val="005B1263"/>
    <w:rsid w:val="005B3D75"/>
    <w:rsid w:val="005B4979"/>
    <w:rsid w:val="005C4C37"/>
    <w:rsid w:val="005C79C6"/>
    <w:rsid w:val="005E1C97"/>
    <w:rsid w:val="00614042"/>
    <w:rsid w:val="00621F9C"/>
    <w:rsid w:val="00622B70"/>
    <w:rsid w:val="00625DB3"/>
    <w:rsid w:val="00631632"/>
    <w:rsid w:val="00631D04"/>
    <w:rsid w:val="00635100"/>
    <w:rsid w:val="0063626E"/>
    <w:rsid w:val="00636CF6"/>
    <w:rsid w:val="00642296"/>
    <w:rsid w:val="00642D91"/>
    <w:rsid w:val="006430D1"/>
    <w:rsid w:val="00645EAD"/>
    <w:rsid w:val="00652114"/>
    <w:rsid w:val="006563A2"/>
    <w:rsid w:val="006667C2"/>
    <w:rsid w:val="0067573C"/>
    <w:rsid w:val="00690D47"/>
    <w:rsid w:val="006917E2"/>
    <w:rsid w:val="00691CB6"/>
    <w:rsid w:val="00693CE5"/>
    <w:rsid w:val="006A155A"/>
    <w:rsid w:val="006A530D"/>
    <w:rsid w:val="006B53B1"/>
    <w:rsid w:val="006B6815"/>
    <w:rsid w:val="006D5007"/>
    <w:rsid w:val="006D7181"/>
    <w:rsid w:val="006E1CA5"/>
    <w:rsid w:val="006E3DD3"/>
    <w:rsid w:val="006E6E78"/>
    <w:rsid w:val="006E7142"/>
    <w:rsid w:val="006F0B3F"/>
    <w:rsid w:val="006F3AA6"/>
    <w:rsid w:val="00702DFF"/>
    <w:rsid w:val="007077D4"/>
    <w:rsid w:val="00710E84"/>
    <w:rsid w:val="00711318"/>
    <w:rsid w:val="00716A59"/>
    <w:rsid w:val="0072313C"/>
    <w:rsid w:val="00723EAC"/>
    <w:rsid w:val="00727944"/>
    <w:rsid w:val="00734617"/>
    <w:rsid w:val="0073750D"/>
    <w:rsid w:val="00737787"/>
    <w:rsid w:val="0074034B"/>
    <w:rsid w:val="007550AB"/>
    <w:rsid w:val="0076437E"/>
    <w:rsid w:val="007740A9"/>
    <w:rsid w:val="007837BF"/>
    <w:rsid w:val="00794143"/>
    <w:rsid w:val="007949F2"/>
    <w:rsid w:val="00797653"/>
    <w:rsid w:val="007A68F5"/>
    <w:rsid w:val="007A7D3C"/>
    <w:rsid w:val="007A7FE4"/>
    <w:rsid w:val="007B0724"/>
    <w:rsid w:val="007C227B"/>
    <w:rsid w:val="007C64A0"/>
    <w:rsid w:val="007C79A1"/>
    <w:rsid w:val="007D0CB4"/>
    <w:rsid w:val="007D37B7"/>
    <w:rsid w:val="007D4785"/>
    <w:rsid w:val="007D49A6"/>
    <w:rsid w:val="007D7F53"/>
    <w:rsid w:val="007E2CF5"/>
    <w:rsid w:val="007E4B81"/>
    <w:rsid w:val="007F4DB5"/>
    <w:rsid w:val="00801489"/>
    <w:rsid w:val="008017E9"/>
    <w:rsid w:val="0082059D"/>
    <w:rsid w:val="00822B5D"/>
    <w:rsid w:val="00827084"/>
    <w:rsid w:val="008329A2"/>
    <w:rsid w:val="0083714D"/>
    <w:rsid w:val="00837936"/>
    <w:rsid w:val="008642AB"/>
    <w:rsid w:val="00871D7C"/>
    <w:rsid w:val="008723CA"/>
    <w:rsid w:val="008758EA"/>
    <w:rsid w:val="008776A7"/>
    <w:rsid w:val="008821B2"/>
    <w:rsid w:val="00882E33"/>
    <w:rsid w:val="008917BD"/>
    <w:rsid w:val="00893B15"/>
    <w:rsid w:val="00897FDC"/>
    <w:rsid w:val="008A27D9"/>
    <w:rsid w:val="008A3810"/>
    <w:rsid w:val="008A796A"/>
    <w:rsid w:val="008B0469"/>
    <w:rsid w:val="008C2018"/>
    <w:rsid w:val="008C4838"/>
    <w:rsid w:val="008C50C0"/>
    <w:rsid w:val="008C6E6F"/>
    <w:rsid w:val="008C7B36"/>
    <w:rsid w:val="008C7F8D"/>
    <w:rsid w:val="008D183E"/>
    <w:rsid w:val="008E0411"/>
    <w:rsid w:val="008E062A"/>
    <w:rsid w:val="008E23E0"/>
    <w:rsid w:val="008F1851"/>
    <w:rsid w:val="008F36AD"/>
    <w:rsid w:val="0090296F"/>
    <w:rsid w:val="00905281"/>
    <w:rsid w:val="00910DBB"/>
    <w:rsid w:val="00917F64"/>
    <w:rsid w:val="00935EE3"/>
    <w:rsid w:val="00942758"/>
    <w:rsid w:val="009511E5"/>
    <w:rsid w:val="00951415"/>
    <w:rsid w:val="00952F6E"/>
    <w:rsid w:val="00953492"/>
    <w:rsid w:val="00966FCC"/>
    <w:rsid w:val="0097059C"/>
    <w:rsid w:val="0097411C"/>
    <w:rsid w:val="009819CC"/>
    <w:rsid w:val="009820C2"/>
    <w:rsid w:val="00982F9F"/>
    <w:rsid w:val="00996E17"/>
    <w:rsid w:val="009976E1"/>
    <w:rsid w:val="009A0D32"/>
    <w:rsid w:val="009A7096"/>
    <w:rsid w:val="009B4C22"/>
    <w:rsid w:val="009C4310"/>
    <w:rsid w:val="009C43D6"/>
    <w:rsid w:val="009C7EC6"/>
    <w:rsid w:val="009D6DB3"/>
    <w:rsid w:val="009D742E"/>
    <w:rsid w:val="009E0D06"/>
    <w:rsid w:val="009E59BE"/>
    <w:rsid w:val="009F4188"/>
    <w:rsid w:val="00A04B99"/>
    <w:rsid w:val="00A17406"/>
    <w:rsid w:val="00A22AA2"/>
    <w:rsid w:val="00A22D89"/>
    <w:rsid w:val="00A26478"/>
    <w:rsid w:val="00A339B4"/>
    <w:rsid w:val="00A34FE3"/>
    <w:rsid w:val="00A410E7"/>
    <w:rsid w:val="00A50E86"/>
    <w:rsid w:val="00A525FD"/>
    <w:rsid w:val="00A558E5"/>
    <w:rsid w:val="00A67BF7"/>
    <w:rsid w:val="00A70430"/>
    <w:rsid w:val="00A73007"/>
    <w:rsid w:val="00A76D8C"/>
    <w:rsid w:val="00A824C9"/>
    <w:rsid w:val="00A92009"/>
    <w:rsid w:val="00A92C6A"/>
    <w:rsid w:val="00A9409D"/>
    <w:rsid w:val="00AA191F"/>
    <w:rsid w:val="00AA240C"/>
    <w:rsid w:val="00AA24BA"/>
    <w:rsid w:val="00AB153C"/>
    <w:rsid w:val="00AB496F"/>
    <w:rsid w:val="00AB49BE"/>
    <w:rsid w:val="00AC043B"/>
    <w:rsid w:val="00AD1534"/>
    <w:rsid w:val="00AD267C"/>
    <w:rsid w:val="00AD6ECF"/>
    <w:rsid w:val="00AD6F72"/>
    <w:rsid w:val="00AE108A"/>
    <w:rsid w:val="00AE50C4"/>
    <w:rsid w:val="00AE60E0"/>
    <w:rsid w:val="00AE67DB"/>
    <w:rsid w:val="00AF09AD"/>
    <w:rsid w:val="00AF3917"/>
    <w:rsid w:val="00B012BC"/>
    <w:rsid w:val="00B0574F"/>
    <w:rsid w:val="00B10970"/>
    <w:rsid w:val="00B136CC"/>
    <w:rsid w:val="00B1540A"/>
    <w:rsid w:val="00B1697E"/>
    <w:rsid w:val="00B20057"/>
    <w:rsid w:val="00B31D02"/>
    <w:rsid w:val="00B32556"/>
    <w:rsid w:val="00B3359B"/>
    <w:rsid w:val="00B45272"/>
    <w:rsid w:val="00B57949"/>
    <w:rsid w:val="00B66E1B"/>
    <w:rsid w:val="00B702DE"/>
    <w:rsid w:val="00B71DB6"/>
    <w:rsid w:val="00B74E4C"/>
    <w:rsid w:val="00B77F40"/>
    <w:rsid w:val="00B83D0E"/>
    <w:rsid w:val="00B84BD9"/>
    <w:rsid w:val="00B92163"/>
    <w:rsid w:val="00B93688"/>
    <w:rsid w:val="00BC453E"/>
    <w:rsid w:val="00BC4656"/>
    <w:rsid w:val="00BC58D8"/>
    <w:rsid w:val="00BC5E9A"/>
    <w:rsid w:val="00BC7120"/>
    <w:rsid w:val="00BD44B3"/>
    <w:rsid w:val="00BD72FF"/>
    <w:rsid w:val="00BE0EDE"/>
    <w:rsid w:val="00BE1DB7"/>
    <w:rsid w:val="00BF6D69"/>
    <w:rsid w:val="00C03E42"/>
    <w:rsid w:val="00C14658"/>
    <w:rsid w:val="00C23FF5"/>
    <w:rsid w:val="00C24D5C"/>
    <w:rsid w:val="00C31318"/>
    <w:rsid w:val="00C3282B"/>
    <w:rsid w:val="00C41F58"/>
    <w:rsid w:val="00C44CC5"/>
    <w:rsid w:val="00C5198B"/>
    <w:rsid w:val="00C542D3"/>
    <w:rsid w:val="00C55FE0"/>
    <w:rsid w:val="00C61D41"/>
    <w:rsid w:val="00C62DCF"/>
    <w:rsid w:val="00C63B18"/>
    <w:rsid w:val="00C641AF"/>
    <w:rsid w:val="00C656D5"/>
    <w:rsid w:val="00C65B1E"/>
    <w:rsid w:val="00C66F07"/>
    <w:rsid w:val="00C6783A"/>
    <w:rsid w:val="00C7380E"/>
    <w:rsid w:val="00C837E1"/>
    <w:rsid w:val="00C873EA"/>
    <w:rsid w:val="00C8744B"/>
    <w:rsid w:val="00C9144D"/>
    <w:rsid w:val="00C958DF"/>
    <w:rsid w:val="00C97205"/>
    <w:rsid w:val="00CA3310"/>
    <w:rsid w:val="00CA3B39"/>
    <w:rsid w:val="00CB5531"/>
    <w:rsid w:val="00CB6715"/>
    <w:rsid w:val="00CC5C89"/>
    <w:rsid w:val="00CC7D30"/>
    <w:rsid w:val="00CD1696"/>
    <w:rsid w:val="00CD6B53"/>
    <w:rsid w:val="00CE2CFA"/>
    <w:rsid w:val="00CE5094"/>
    <w:rsid w:val="00CF3CB1"/>
    <w:rsid w:val="00CF42AB"/>
    <w:rsid w:val="00CF5D66"/>
    <w:rsid w:val="00CF6DE1"/>
    <w:rsid w:val="00D00D65"/>
    <w:rsid w:val="00D0257B"/>
    <w:rsid w:val="00D0667D"/>
    <w:rsid w:val="00D11482"/>
    <w:rsid w:val="00D26EAC"/>
    <w:rsid w:val="00D31E00"/>
    <w:rsid w:val="00D33CEE"/>
    <w:rsid w:val="00D54EBD"/>
    <w:rsid w:val="00D571C2"/>
    <w:rsid w:val="00D608F1"/>
    <w:rsid w:val="00D63EAF"/>
    <w:rsid w:val="00D646EC"/>
    <w:rsid w:val="00D649CC"/>
    <w:rsid w:val="00D666C0"/>
    <w:rsid w:val="00D703CE"/>
    <w:rsid w:val="00D74814"/>
    <w:rsid w:val="00D74C94"/>
    <w:rsid w:val="00D91486"/>
    <w:rsid w:val="00DA1296"/>
    <w:rsid w:val="00DA2281"/>
    <w:rsid w:val="00DA4F4F"/>
    <w:rsid w:val="00DA6827"/>
    <w:rsid w:val="00DA6BF8"/>
    <w:rsid w:val="00DB51E2"/>
    <w:rsid w:val="00DB5CDB"/>
    <w:rsid w:val="00DC2D36"/>
    <w:rsid w:val="00DC6DFC"/>
    <w:rsid w:val="00DD6F7B"/>
    <w:rsid w:val="00DE4A81"/>
    <w:rsid w:val="00DE5D7B"/>
    <w:rsid w:val="00DE66F3"/>
    <w:rsid w:val="00DF4959"/>
    <w:rsid w:val="00E00F04"/>
    <w:rsid w:val="00E01C69"/>
    <w:rsid w:val="00E1668C"/>
    <w:rsid w:val="00E25F53"/>
    <w:rsid w:val="00E33798"/>
    <w:rsid w:val="00E343AB"/>
    <w:rsid w:val="00E3586D"/>
    <w:rsid w:val="00E35DBE"/>
    <w:rsid w:val="00E50A1D"/>
    <w:rsid w:val="00E55501"/>
    <w:rsid w:val="00E60521"/>
    <w:rsid w:val="00E61B10"/>
    <w:rsid w:val="00E63B38"/>
    <w:rsid w:val="00E65145"/>
    <w:rsid w:val="00E67A00"/>
    <w:rsid w:val="00E7449F"/>
    <w:rsid w:val="00E81DAB"/>
    <w:rsid w:val="00E84CEA"/>
    <w:rsid w:val="00E858F9"/>
    <w:rsid w:val="00E86095"/>
    <w:rsid w:val="00E973A8"/>
    <w:rsid w:val="00EB0AE3"/>
    <w:rsid w:val="00EB6444"/>
    <w:rsid w:val="00EC0DD2"/>
    <w:rsid w:val="00EC52EC"/>
    <w:rsid w:val="00ED6685"/>
    <w:rsid w:val="00ED73F0"/>
    <w:rsid w:val="00ED7EC4"/>
    <w:rsid w:val="00EE6406"/>
    <w:rsid w:val="00EF3709"/>
    <w:rsid w:val="00F12B0B"/>
    <w:rsid w:val="00F17F95"/>
    <w:rsid w:val="00F276C4"/>
    <w:rsid w:val="00F31EE8"/>
    <w:rsid w:val="00F344F1"/>
    <w:rsid w:val="00F36E3F"/>
    <w:rsid w:val="00F44A5D"/>
    <w:rsid w:val="00F533FA"/>
    <w:rsid w:val="00F6106F"/>
    <w:rsid w:val="00F63EC9"/>
    <w:rsid w:val="00F77DA7"/>
    <w:rsid w:val="00F83BA1"/>
    <w:rsid w:val="00FA0728"/>
    <w:rsid w:val="00FA091D"/>
    <w:rsid w:val="00FA112A"/>
    <w:rsid w:val="00FC08A4"/>
    <w:rsid w:val="00FC1617"/>
    <w:rsid w:val="00FC518B"/>
    <w:rsid w:val="00FC6D03"/>
    <w:rsid w:val="00FD0BE9"/>
    <w:rsid w:val="00FD3E1B"/>
    <w:rsid w:val="00FE1947"/>
    <w:rsid w:val="00FE2D2A"/>
    <w:rsid w:val="00FF04BB"/>
    <w:rsid w:val="00FF299D"/>
    <w:rsid w:val="00FF7D24"/>
    <w:rsid w:val="00FF7E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F1B569"/>
  <w15:docId w15:val="{4E982B71-B8C2-4739-BF78-B4E0671D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0E5"/>
    <w:rPr>
      <w:sz w:val="24"/>
      <w:szCs w:val="24"/>
      <w:lang w:eastAsia="en-US"/>
    </w:rPr>
  </w:style>
  <w:style w:type="paragraph" w:styleId="Heading1">
    <w:name w:val="heading 1"/>
    <w:basedOn w:val="Normal"/>
    <w:next w:val="Normal"/>
    <w:link w:val="Heading1Char"/>
    <w:qFormat/>
    <w:rsid w:val="008B046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40B0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0B0D"/>
    <w:pPr>
      <w:keepNext/>
      <w:jc w:val="both"/>
      <w:outlineLvl w:val="2"/>
    </w:pPr>
    <w:rPr>
      <w:rFonts w:ascii="Arial" w:hAnsi="Arial" w:cs="Arial"/>
      <w:b/>
      <w:bCs/>
      <w:sz w:val="28"/>
      <w:u w:val="single"/>
    </w:rPr>
  </w:style>
  <w:style w:type="paragraph" w:styleId="Heading5">
    <w:name w:val="heading 5"/>
    <w:basedOn w:val="Normal"/>
    <w:next w:val="Normal"/>
    <w:qFormat/>
    <w:rsid w:val="00140B0D"/>
    <w:pPr>
      <w:keepNext/>
      <w:jc w:val="center"/>
      <w:outlineLvl w:val="4"/>
    </w:pPr>
    <w:rPr>
      <w:rFonts w:ascii="Arial"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0B0D"/>
    <w:pPr>
      <w:tabs>
        <w:tab w:val="center" w:pos="4320"/>
        <w:tab w:val="right" w:pos="8640"/>
      </w:tabs>
    </w:pPr>
  </w:style>
  <w:style w:type="paragraph" w:styleId="Footer">
    <w:name w:val="footer"/>
    <w:basedOn w:val="Normal"/>
    <w:link w:val="FooterChar"/>
    <w:uiPriority w:val="99"/>
    <w:rsid w:val="00140B0D"/>
    <w:pPr>
      <w:tabs>
        <w:tab w:val="center" w:pos="4320"/>
        <w:tab w:val="right" w:pos="8640"/>
      </w:tabs>
    </w:pPr>
  </w:style>
  <w:style w:type="table" w:styleId="TableColorful3">
    <w:name w:val="Table Colorful 3"/>
    <w:aliases w:val="Table Colorful CWEA"/>
    <w:basedOn w:val="TableNormal"/>
    <w:rsid w:val="00140B0D"/>
    <w:rPr>
      <w:rFonts w:ascii="Arial" w:hAnsi="Arial"/>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8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Heading2Char">
    <w:name w:val="Heading 2 Char"/>
    <w:link w:val="Heading2"/>
    <w:rsid w:val="00140B0D"/>
    <w:rPr>
      <w:rFonts w:ascii="Arial" w:hAnsi="Arial" w:cs="Arial"/>
      <w:b/>
      <w:bCs/>
      <w:i/>
      <w:iCs/>
      <w:sz w:val="28"/>
      <w:szCs w:val="28"/>
      <w:lang w:val="en-GB" w:eastAsia="en-US" w:bidi="ar-SA"/>
    </w:rPr>
  </w:style>
  <w:style w:type="character" w:customStyle="1" w:styleId="Heading3Char">
    <w:name w:val="Heading 3 Char"/>
    <w:link w:val="Heading3"/>
    <w:rsid w:val="00140B0D"/>
    <w:rPr>
      <w:rFonts w:ascii="Arial" w:hAnsi="Arial" w:cs="Arial"/>
      <w:b/>
      <w:bCs/>
      <w:sz w:val="28"/>
      <w:szCs w:val="24"/>
      <w:u w:val="single"/>
      <w:lang w:val="en-GB" w:eastAsia="en-US" w:bidi="ar-SA"/>
    </w:rPr>
  </w:style>
  <w:style w:type="table" w:styleId="TableGrid">
    <w:name w:val="Table Grid"/>
    <w:basedOn w:val="TableNormal"/>
    <w:uiPriority w:val="59"/>
    <w:rsid w:val="0014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649CC"/>
    <w:rPr>
      <w:sz w:val="24"/>
      <w:szCs w:val="24"/>
      <w:lang w:eastAsia="en-US"/>
    </w:rPr>
  </w:style>
  <w:style w:type="paragraph" w:styleId="BalloonText">
    <w:name w:val="Balloon Text"/>
    <w:basedOn w:val="Normal"/>
    <w:link w:val="BalloonTextChar"/>
    <w:rsid w:val="00D649CC"/>
    <w:rPr>
      <w:rFonts w:ascii="Tahoma" w:hAnsi="Tahoma" w:cs="Tahoma"/>
      <w:sz w:val="16"/>
      <w:szCs w:val="16"/>
    </w:rPr>
  </w:style>
  <w:style w:type="character" w:customStyle="1" w:styleId="BalloonTextChar">
    <w:name w:val="Balloon Text Char"/>
    <w:link w:val="BalloonText"/>
    <w:rsid w:val="00D649CC"/>
    <w:rPr>
      <w:rFonts w:ascii="Tahoma" w:hAnsi="Tahoma" w:cs="Tahoma"/>
      <w:sz w:val="16"/>
      <w:szCs w:val="16"/>
      <w:lang w:eastAsia="en-US"/>
    </w:rPr>
  </w:style>
  <w:style w:type="paragraph" w:styleId="NormalWeb">
    <w:name w:val="Normal (Web)"/>
    <w:basedOn w:val="Normal"/>
    <w:uiPriority w:val="99"/>
    <w:unhideWhenUsed/>
    <w:rsid w:val="0097059C"/>
    <w:pPr>
      <w:spacing w:before="100" w:beforeAutospacing="1" w:after="100" w:afterAutospacing="1"/>
    </w:pPr>
    <w:rPr>
      <w:rFonts w:eastAsia="Calibri"/>
      <w:lang w:eastAsia="en-GB"/>
    </w:rPr>
  </w:style>
  <w:style w:type="paragraph" w:styleId="BodyText2">
    <w:name w:val="Body Text 2"/>
    <w:link w:val="BodyText2Char"/>
    <w:rsid w:val="00CC5C89"/>
    <w:pPr>
      <w:numPr>
        <w:numId w:val="1"/>
      </w:numPr>
      <w:spacing w:after="180" w:line="288" w:lineRule="auto"/>
      <w:jc w:val="both"/>
    </w:pPr>
    <w:rPr>
      <w:rFonts w:ascii="Cambria" w:hAnsi="Cambria"/>
      <w:sz w:val="21"/>
      <w:szCs w:val="22"/>
    </w:rPr>
  </w:style>
  <w:style w:type="character" w:customStyle="1" w:styleId="BodyText2Char">
    <w:name w:val="Body Text 2 Char"/>
    <w:link w:val="BodyText2"/>
    <w:rsid w:val="00CC5C89"/>
    <w:rPr>
      <w:rFonts w:ascii="Cambria" w:hAnsi="Cambria"/>
      <w:sz w:val="21"/>
      <w:szCs w:val="22"/>
    </w:rPr>
  </w:style>
  <w:style w:type="paragraph" w:styleId="FootnoteText">
    <w:name w:val="footnote text"/>
    <w:basedOn w:val="Normal"/>
    <w:link w:val="FootnoteTextChar"/>
    <w:uiPriority w:val="99"/>
    <w:unhideWhenUsed/>
    <w:rsid w:val="0083714D"/>
    <w:pPr>
      <w:spacing w:after="120" w:line="264" w:lineRule="auto"/>
    </w:pPr>
    <w:rPr>
      <w:rFonts w:ascii="Arial" w:hAnsi="Arial"/>
      <w:sz w:val="20"/>
      <w:szCs w:val="20"/>
    </w:rPr>
  </w:style>
  <w:style w:type="character" w:customStyle="1" w:styleId="FootnoteTextChar">
    <w:name w:val="Footnote Text Char"/>
    <w:link w:val="FootnoteText"/>
    <w:uiPriority w:val="99"/>
    <w:rsid w:val="0083714D"/>
    <w:rPr>
      <w:rFonts w:ascii="Arial" w:hAnsi="Arial"/>
      <w:lang w:eastAsia="en-US"/>
    </w:rPr>
  </w:style>
  <w:style w:type="character" w:styleId="FootnoteReference">
    <w:name w:val="footnote reference"/>
    <w:uiPriority w:val="99"/>
    <w:unhideWhenUsed/>
    <w:rsid w:val="0083714D"/>
    <w:rPr>
      <w:vertAlign w:val="superscript"/>
    </w:rPr>
  </w:style>
  <w:style w:type="character" w:customStyle="1" w:styleId="apple-converted-space">
    <w:name w:val="apple-converted-space"/>
    <w:rsid w:val="007550AB"/>
  </w:style>
  <w:style w:type="character" w:customStyle="1" w:styleId="Heading1Char">
    <w:name w:val="Heading 1 Char"/>
    <w:link w:val="Heading1"/>
    <w:rsid w:val="008B0469"/>
    <w:rPr>
      <w:rFonts w:ascii="Calibri Light" w:eastAsia="Times New Roman" w:hAnsi="Calibri Light" w:cs="Times New Roman"/>
      <w:b/>
      <w:bCs/>
      <w:kern w:val="32"/>
      <w:sz w:val="32"/>
      <w:szCs w:val="32"/>
      <w:lang w:eastAsia="en-US"/>
    </w:rPr>
  </w:style>
  <w:style w:type="paragraph" w:customStyle="1" w:styleId="Default">
    <w:name w:val="Default"/>
    <w:rsid w:val="00A76D8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94143"/>
    <w:pPr>
      <w:ind w:left="720"/>
      <w:contextualSpacing/>
    </w:pPr>
    <w:rPr>
      <w:rFonts w:asciiTheme="minorHAnsi" w:eastAsiaTheme="minorEastAsia" w:hAnsiTheme="minorHAnsi" w:cstheme="minorBidi"/>
      <w:lang w:val="en-US"/>
    </w:rPr>
  </w:style>
  <w:style w:type="paragraph" w:customStyle="1" w:styleId="ACEBodyText">
    <w:name w:val="ACE Body Text"/>
    <w:uiPriority w:val="99"/>
    <w:rsid w:val="00794143"/>
    <w:pPr>
      <w:spacing w:line="320" w:lineRule="atLeast"/>
    </w:pPr>
    <w:rPr>
      <w:rFonts w:ascii="Arial" w:hAnsi="Arial"/>
      <w:sz w:val="24"/>
      <w:lang w:eastAsia="zh-CN"/>
    </w:rPr>
  </w:style>
  <w:style w:type="character" w:styleId="Hyperlink">
    <w:name w:val="Hyperlink"/>
    <w:uiPriority w:val="99"/>
    <w:unhideWhenUsed/>
    <w:rsid w:val="00642D91"/>
    <w:rPr>
      <w:color w:val="0000FF"/>
      <w:u w:val="single"/>
    </w:rPr>
  </w:style>
  <w:style w:type="paragraph" w:customStyle="1" w:styleId="Bodysubclause">
    <w:name w:val="Body  sub clause"/>
    <w:basedOn w:val="Normal"/>
    <w:rsid w:val="00BF6D69"/>
    <w:pPr>
      <w:spacing w:before="240" w:after="120" w:line="300" w:lineRule="atLeast"/>
      <w:ind w:left="720"/>
      <w:jc w:val="both"/>
    </w:pPr>
    <w:rPr>
      <w:sz w:val="22"/>
      <w:szCs w:val="20"/>
    </w:rPr>
  </w:style>
  <w:style w:type="paragraph" w:customStyle="1" w:styleId="NormalCell">
    <w:name w:val="NormalCell"/>
    <w:basedOn w:val="Normal"/>
    <w:uiPriority w:val="99"/>
    <w:rsid w:val="00BF6D69"/>
    <w:pPr>
      <w:spacing w:before="120" w:after="120" w:line="300" w:lineRule="atLeast"/>
    </w:pPr>
    <w:rPr>
      <w:sz w:val="22"/>
      <w:szCs w:val="20"/>
    </w:rPr>
  </w:style>
  <w:style w:type="character" w:customStyle="1" w:styleId="Defterm">
    <w:name w:val="Defterm"/>
    <w:uiPriority w:val="99"/>
    <w:rsid w:val="00BF6D69"/>
    <w:rPr>
      <w:b/>
      <w:bCs w:val="0"/>
      <w:color w:val="000000"/>
      <w:sz w:val="22"/>
    </w:rPr>
  </w:style>
  <w:style w:type="table" w:customStyle="1" w:styleId="TableGrid1">
    <w:name w:val="Table Grid1"/>
    <w:basedOn w:val="TableNormal"/>
    <w:uiPriority w:val="39"/>
    <w:rsid w:val="00BF6D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1D7C"/>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8A3810"/>
    <w:rPr>
      <w:color w:val="808080"/>
      <w:shd w:val="clear" w:color="auto" w:fill="E6E6E6"/>
    </w:rPr>
  </w:style>
  <w:style w:type="table" w:customStyle="1" w:styleId="TableGrid11">
    <w:name w:val="Table Grid11"/>
    <w:basedOn w:val="TableNormal"/>
    <w:next w:val="TableGrid"/>
    <w:uiPriority w:val="59"/>
    <w:rsid w:val="00FD3E1B"/>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255">
      <w:bodyDiv w:val="1"/>
      <w:marLeft w:val="0"/>
      <w:marRight w:val="0"/>
      <w:marTop w:val="0"/>
      <w:marBottom w:val="0"/>
      <w:divBdr>
        <w:top w:val="none" w:sz="0" w:space="0" w:color="auto"/>
        <w:left w:val="none" w:sz="0" w:space="0" w:color="auto"/>
        <w:bottom w:val="none" w:sz="0" w:space="0" w:color="auto"/>
        <w:right w:val="none" w:sz="0" w:space="0" w:color="auto"/>
      </w:divBdr>
    </w:div>
    <w:div w:id="180317753">
      <w:bodyDiv w:val="1"/>
      <w:marLeft w:val="0"/>
      <w:marRight w:val="0"/>
      <w:marTop w:val="0"/>
      <w:marBottom w:val="0"/>
      <w:divBdr>
        <w:top w:val="none" w:sz="0" w:space="0" w:color="auto"/>
        <w:left w:val="none" w:sz="0" w:space="0" w:color="auto"/>
        <w:bottom w:val="none" w:sz="0" w:space="0" w:color="auto"/>
        <w:right w:val="none" w:sz="0" w:space="0" w:color="auto"/>
      </w:divBdr>
    </w:div>
    <w:div w:id="211040805">
      <w:bodyDiv w:val="1"/>
      <w:marLeft w:val="0"/>
      <w:marRight w:val="0"/>
      <w:marTop w:val="0"/>
      <w:marBottom w:val="0"/>
      <w:divBdr>
        <w:top w:val="none" w:sz="0" w:space="0" w:color="auto"/>
        <w:left w:val="none" w:sz="0" w:space="0" w:color="auto"/>
        <w:bottom w:val="none" w:sz="0" w:space="0" w:color="auto"/>
        <w:right w:val="none" w:sz="0" w:space="0" w:color="auto"/>
      </w:divBdr>
    </w:div>
    <w:div w:id="241254750">
      <w:bodyDiv w:val="1"/>
      <w:marLeft w:val="0"/>
      <w:marRight w:val="0"/>
      <w:marTop w:val="0"/>
      <w:marBottom w:val="0"/>
      <w:divBdr>
        <w:top w:val="none" w:sz="0" w:space="0" w:color="auto"/>
        <w:left w:val="none" w:sz="0" w:space="0" w:color="auto"/>
        <w:bottom w:val="none" w:sz="0" w:space="0" w:color="auto"/>
        <w:right w:val="none" w:sz="0" w:space="0" w:color="auto"/>
      </w:divBdr>
    </w:div>
    <w:div w:id="296837749">
      <w:bodyDiv w:val="1"/>
      <w:marLeft w:val="0"/>
      <w:marRight w:val="0"/>
      <w:marTop w:val="0"/>
      <w:marBottom w:val="0"/>
      <w:divBdr>
        <w:top w:val="none" w:sz="0" w:space="0" w:color="auto"/>
        <w:left w:val="none" w:sz="0" w:space="0" w:color="auto"/>
        <w:bottom w:val="none" w:sz="0" w:space="0" w:color="auto"/>
        <w:right w:val="none" w:sz="0" w:space="0" w:color="auto"/>
      </w:divBdr>
      <w:divsChild>
        <w:div w:id="86972635">
          <w:marLeft w:val="1166"/>
          <w:marRight w:val="0"/>
          <w:marTop w:val="77"/>
          <w:marBottom w:val="120"/>
          <w:divBdr>
            <w:top w:val="none" w:sz="0" w:space="0" w:color="auto"/>
            <w:left w:val="none" w:sz="0" w:space="0" w:color="auto"/>
            <w:bottom w:val="none" w:sz="0" w:space="0" w:color="auto"/>
            <w:right w:val="none" w:sz="0" w:space="0" w:color="auto"/>
          </w:divBdr>
        </w:div>
        <w:div w:id="372731218">
          <w:marLeft w:val="1166"/>
          <w:marRight w:val="0"/>
          <w:marTop w:val="77"/>
          <w:marBottom w:val="120"/>
          <w:divBdr>
            <w:top w:val="none" w:sz="0" w:space="0" w:color="auto"/>
            <w:left w:val="none" w:sz="0" w:space="0" w:color="auto"/>
            <w:bottom w:val="none" w:sz="0" w:space="0" w:color="auto"/>
            <w:right w:val="none" w:sz="0" w:space="0" w:color="auto"/>
          </w:divBdr>
        </w:div>
        <w:div w:id="761534210">
          <w:marLeft w:val="547"/>
          <w:marRight w:val="0"/>
          <w:marTop w:val="77"/>
          <w:marBottom w:val="120"/>
          <w:divBdr>
            <w:top w:val="none" w:sz="0" w:space="0" w:color="auto"/>
            <w:left w:val="none" w:sz="0" w:space="0" w:color="auto"/>
            <w:bottom w:val="none" w:sz="0" w:space="0" w:color="auto"/>
            <w:right w:val="none" w:sz="0" w:space="0" w:color="auto"/>
          </w:divBdr>
        </w:div>
        <w:div w:id="884416857">
          <w:marLeft w:val="547"/>
          <w:marRight w:val="0"/>
          <w:marTop w:val="77"/>
          <w:marBottom w:val="120"/>
          <w:divBdr>
            <w:top w:val="none" w:sz="0" w:space="0" w:color="auto"/>
            <w:left w:val="none" w:sz="0" w:space="0" w:color="auto"/>
            <w:bottom w:val="none" w:sz="0" w:space="0" w:color="auto"/>
            <w:right w:val="none" w:sz="0" w:space="0" w:color="auto"/>
          </w:divBdr>
        </w:div>
        <w:div w:id="1893425978">
          <w:marLeft w:val="1166"/>
          <w:marRight w:val="0"/>
          <w:marTop w:val="77"/>
          <w:marBottom w:val="120"/>
          <w:divBdr>
            <w:top w:val="none" w:sz="0" w:space="0" w:color="auto"/>
            <w:left w:val="none" w:sz="0" w:space="0" w:color="auto"/>
            <w:bottom w:val="none" w:sz="0" w:space="0" w:color="auto"/>
            <w:right w:val="none" w:sz="0" w:space="0" w:color="auto"/>
          </w:divBdr>
        </w:div>
        <w:div w:id="1937207187">
          <w:marLeft w:val="547"/>
          <w:marRight w:val="0"/>
          <w:marTop w:val="77"/>
          <w:marBottom w:val="120"/>
          <w:divBdr>
            <w:top w:val="none" w:sz="0" w:space="0" w:color="auto"/>
            <w:left w:val="none" w:sz="0" w:space="0" w:color="auto"/>
            <w:bottom w:val="none" w:sz="0" w:space="0" w:color="auto"/>
            <w:right w:val="none" w:sz="0" w:space="0" w:color="auto"/>
          </w:divBdr>
        </w:div>
      </w:divsChild>
    </w:div>
    <w:div w:id="326714253">
      <w:bodyDiv w:val="1"/>
      <w:marLeft w:val="0"/>
      <w:marRight w:val="0"/>
      <w:marTop w:val="0"/>
      <w:marBottom w:val="0"/>
      <w:divBdr>
        <w:top w:val="none" w:sz="0" w:space="0" w:color="auto"/>
        <w:left w:val="none" w:sz="0" w:space="0" w:color="auto"/>
        <w:bottom w:val="none" w:sz="0" w:space="0" w:color="auto"/>
        <w:right w:val="none" w:sz="0" w:space="0" w:color="auto"/>
      </w:divBdr>
    </w:div>
    <w:div w:id="475027365">
      <w:bodyDiv w:val="1"/>
      <w:marLeft w:val="0"/>
      <w:marRight w:val="0"/>
      <w:marTop w:val="0"/>
      <w:marBottom w:val="0"/>
      <w:divBdr>
        <w:top w:val="none" w:sz="0" w:space="0" w:color="auto"/>
        <w:left w:val="none" w:sz="0" w:space="0" w:color="auto"/>
        <w:bottom w:val="none" w:sz="0" w:space="0" w:color="auto"/>
        <w:right w:val="none" w:sz="0" w:space="0" w:color="auto"/>
      </w:divBdr>
    </w:div>
    <w:div w:id="598490245">
      <w:bodyDiv w:val="1"/>
      <w:marLeft w:val="0"/>
      <w:marRight w:val="0"/>
      <w:marTop w:val="0"/>
      <w:marBottom w:val="0"/>
      <w:divBdr>
        <w:top w:val="none" w:sz="0" w:space="0" w:color="auto"/>
        <w:left w:val="none" w:sz="0" w:space="0" w:color="auto"/>
        <w:bottom w:val="none" w:sz="0" w:space="0" w:color="auto"/>
        <w:right w:val="none" w:sz="0" w:space="0" w:color="auto"/>
      </w:divBdr>
      <w:divsChild>
        <w:div w:id="77336995">
          <w:marLeft w:val="547"/>
          <w:marRight w:val="0"/>
          <w:marTop w:val="96"/>
          <w:marBottom w:val="120"/>
          <w:divBdr>
            <w:top w:val="none" w:sz="0" w:space="0" w:color="auto"/>
            <w:left w:val="none" w:sz="0" w:space="0" w:color="auto"/>
            <w:bottom w:val="none" w:sz="0" w:space="0" w:color="auto"/>
            <w:right w:val="none" w:sz="0" w:space="0" w:color="auto"/>
          </w:divBdr>
        </w:div>
        <w:div w:id="134490931">
          <w:marLeft w:val="547"/>
          <w:marRight w:val="0"/>
          <w:marTop w:val="96"/>
          <w:marBottom w:val="120"/>
          <w:divBdr>
            <w:top w:val="none" w:sz="0" w:space="0" w:color="auto"/>
            <w:left w:val="none" w:sz="0" w:space="0" w:color="auto"/>
            <w:bottom w:val="none" w:sz="0" w:space="0" w:color="auto"/>
            <w:right w:val="none" w:sz="0" w:space="0" w:color="auto"/>
          </w:divBdr>
        </w:div>
        <w:div w:id="242836335">
          <w:marLeft w:val="547"/>
          <w:marRight w:val="0"/>
          <w:marTop w:val="96"/>
          <w:marBottom w:val="120"/>
          <w:divBdr>
            <w:top w:val="none" w:sz="0" w:space="0" w:color="auto"/>
            <w:left w:val="none" w:sz="0" w:space="0" w:color="auto"/>
            <w:bottom w:val="none" w:sz="0" w:space="0" w:color="auto"/>
            <w:right w:val="none" w:sz="0" w:space="0" w:color="auto"/>
          </w:divBdr>
        </w:div>
        <w:div w:id="1261257215">
          <w:marLeft w:val="547"/>
          <w:marRight w:val="0"/>
          <w:marTop w:val="96"/>
          <w:marBottom w:val="120"/>
          <w:divBdr>
            <w:top w:val="none" w:sz="0" w:space="0" w:color="auto"/>
            <w:left w:val="none" w:sz="0" w:space="0" w:color="auto"/>
            <w:bottom w:val="none" w:sz="0" w:space="0" w:color="auto"/>
            <w:right w:val="none" w:sz="0" w:space="0" w:color="auto"/>
          </w:divBdr>
        </w:div>
      </w:divsChild>
    </w:div>
    <w:div w:id="620039152">
      <w:bodyDiv w:val="1"/>
      <w:marLeft w:val="0"/>
      <w:marRight w:val="0"/>
      <w:marTop w:val="0"/>
      <w:marBottom w:val="0"/>
      <w:divBdr>
        <w:top w:val="none" w:sz="0" w:space="0" w:color="auto"/>
        <w:left w:val="none" w:sz="0" w:space="0" w:color="auto"/>
        <w:bottom w:val="none" w:sz="0" w:space="0" w:color="auto"/>
        <w:right w:val="none" w:sz="0" w:space="0" w:color="auto"/>
      </w:divBdr>
    </w:div>
    <w:div w:id="658309787">
      <w:bodyDiv w:val="1"/>
      <w:marLeft w:val="0"/>
      <w:marRight w:val="0"/>
      <w:marTop w:val="0"/>
      <w:marBottom w:val="0"/>
      <w:divBdr>
        <w:top w:val="none" w:sz="0" w:space="0" w:color="auto"/>
        <w:left w:val="none" w:sz="0" w:space="0" w:color="auto"/>
        <w:bottom w:val="none" w:sz="0" w:space="0" w:color="auto"/>
        <w:right w:val="none" w:sz="0" w:space="0" w:color="auto"/>
      </w:divBdr>
    </w:div>
    <w:div w:id="690684640">
      <w:bodyDiv w:val="1"/>
      <w:marLeft w:val="0"/>
      <w:marRight w:val="0"/>
      <w:marTop w:val="0"/>
      <w:marBottom w:val="0"/>
      <w:divBdr>
        <w:top w:val="none" w:sz="0" w:space="0" w:color="auto"/>
        <w:left w:val="none" w:sz="0" w:space="0" w:color="auto"/>
        <w:bottom w:val="none" w:sz="0" w:space="0" w:color="auto"/>
        <w:right w:val="none" w:sz="0" w:space="0" w:color="auto"/>
      </w:divBdr>
      <w:divsChild>
        <w:div w:id="232350599">
          <w:marLeft w:val="547"/>
          <w:marRight w:val="0"/>
          <w:marTop w:val="0"/>
          <w:marBottom w:val="240"/>
          <w:divBdr>
            <w:top w:val="none" w:sz="0" w:space="0" w:color="auto"/>
            <w:left w:val="none" w:sz="0" w:space="0" w:color="auto"/>
            <w:bottom w:val="none" w:sz="0" w:space="0" w:color="auto"/>
            <w:right w:val="none" w:sz="0" w:space="0" w:color="auto"/>
          </w:divBdr>
        </w:div>
        <w:div w:id="1281498051">
          <w:marLeft w:val="547"/>
          <w:marRight w:val="0"/>
          <w:marTop w:val="0"/>
          <w:marBottom w:val="240"/>
          <w:divBdr>
            <w:top w:val="none" w:sz="0" w:space="0" w:color="auto"/>
            <w:left w:val="none" w:sz="0" w:space="0" w:color="auto"/>
            <w:bottom w:val="none" w:sz="0" w:space="0" w:color="auto"/>
            <w:right w:val="none" w:sz="0" w:space="0" w:color="auto"/>
          </w:divBdr>
        </w:div>
        <w:div w:id="1878077624">
          <w:marLeft w:val="547"/>
          <w:marRight w:val="0"/>
          <w:marTop w:val="0"/>
          <w:marBottom w:val="240"/>
          <w:divBdr>
            <w:top w:val="none" w:sz="0" w:space="0" w:color="auto"/>
            <w:left w:val="none" w:sz="0" w:space="0" w:color="auto"/>
            <w:bottom w:val="none" w:sz="0" w:space="0" w:color="auto"/>
            <w:right w:val="none" w:sz="0" w:space="0" w:color="auto"/>
          </w:divBdr>
        </w:div>
      </w:divsChild>
    </w:div>
    <w:div w:id="794565343">
      <w:bodyDiv w:val="1"/>
      <w:marLeft w:val="0"/>
      <w:marRight w:val="0"/>
      <w:marTop w:val="0"/>
      <w:marBottom w:val="0"/>
      <w:divBdr>
        <w:top w:val="none" w:sz="0" w:space="0" w:color="auto"/>
        <w:left w:val="none" w:sz="0" w:space="0" w:color="auto"/>
        <w:bottom w:val="none" w:sz="0" w:space="0" w:color="auto"/>
        <w:right w:val="none" w:sz="0" w:space="0" w:color="auto"/>
      </w:divBdr>
    </w:div>
    <w:div w:id="1025979991">
      <w:bodyDiv w:val="1"/>
      <w:marLeft w:val="0"/>
      <w:marRight w:val="0"/>
      <w:marTop w:val="0"/>
      <w:marBottom w:val="0"/>
      <w:divBdr>
        <w:top w:val="none" w:sz="0" w:space="0" w:color="auto"/>
        <w:left w:val="none" w:sz="0" w:space="0" w:color="auto"/>
        <w:bottom w:val="none" w:sz="0" w:space="0" w:color="auto"/>
        <w:right w:val="none" w:sz="0" w:space="0" w:color="auto"/>
      </w:divBdr>
      <w:divsChild>
        <w:div w:id="40831049">
          <w:marLeft w:val="547"/>
          <w:marRight w:val="0"/>
          <w:marTop w:val="120"/>
          <w:marBottom w:val="120"/>
          <w:divBdr>
            <w:top w:val="none" w:sz="0" w:space="0" w:color="auto"/>
            <w:left w:val="none" w:sz="0" w:space="0" w:color="auto"/>
            <w:bottom w:val="none" w:sz="0" w:space="0" w:color="auto"/>
            <w:right w:val="none" w:sz="0" w:space="0" w:color="auto"/>
          </w:divBdr>
        </w:div>
        <w:div w:id="706494567">
          <w:marLeft w:val="547"/>
          <w:marRight w:val="0"/>
          <w:marTop w:val="120"/>
          <w:marBottom w:val="120"/>
          <w:divBdr>
            <w:top w:val="none" w:sz="0" w:space="0" w:color="auto"/>
            <w:left w:val="none" w:sz="0" w:space="0" w:color="auto"/>
            <w:bottom w:val="none" w:sz="0" w:space="0" w:color="auto"/>
            <w:right w:val="none" w:sz="0" w:space="0" w:color="auto"/>
          </w:divBdr>
        </w:div>
        <w:div w:id="1759979284">
          <w:marLeft w:val="547"/>
          <w:marRight w:val="0"/>
          <w:marTop w:val="120"/>
          <w:marBottom w:val="120"/>
          <w:divBdr>
            <w:top w:val="none" w:sz="0" w:space="0" w:color="auto"/>
            <w:left w:val="none" w:sz="0" w:space="0" w:color="auto"/>
            <w:bottom w:val="none" w:sz="0" w:space="0" w:color="auto"/>
            <w:right w:val="none" w:sz="0" w:space="0" w:color="auto"/>
          </w:divBdr>
        </w:div>
        <w:div w:id="2009361087">
          <w:marLeft w:val="547"/>
          <w:marRight w:val="0"/>
          <w:marTop w:val="120"/>
          <w:marBottom w:val="120"/>
          <w:divBdr>
            <w:top w:val="none" w:sz="0" w:space="0" w:color="auto"/>
            <w:left w:val="none" w:sz="0" w:space="0" w:color="auto"/>
            <w:bottom w:val="none" w:sz="0" w:space="0" w:color="auto"/>
            <w:right w:val="none" w:sz="0" w:space="0" w:color="auto"/>
          </w:divBdr>
        </w:div>
      </w:divsChild>
    </w:div>
    <w:div w:id="1032683360">
      <w:bodyDiv w:val="1"/>
      <w:marLeft w:val="0"/>
      <w:marRight w:val="0"/>
      <w:marTop w:val="0"/>
      <w:marBottom w:val="0"/>
      <w:divBdr>
        <w:top w:val="none" w:sz="0" w:space="0" w:color="auto"/>
        <w:left w:val="none" w:sz="0" w:space="0" w:color="auto"/>
        <w:bottom w:val="none" w:sz="0" w:space="0" w:color="auto"/>
        <w:right w:val="none" w:sz="0" w:space="0" w:color="auto"/>
      </w:divBdr>
    </w:div>
    <w:div w:id="1054348553">
      <w:bodyDiv w:val="1"/>
      <w:marLeft w:val="0"/>
      <w:marRight w:val="0"/>
      <w:marTop w:val="0"/>
      <w:marBottom w:val="0"/>
      <w:divBdr>
        <w:top w:val="none" w:sz="0" w:space="0" w:color="auto"/>
        <w:left w:val="none" w:sz="0" w:space="0" w:color="auto"/>
        <w:bottom w:val="none" w:sz="0" w:space="0" w:color="auto"/>
        <w:right w:val="none" w:sz="0" w:space="0" w:color="auto"/>
      </w:divBdr>
    </w:div>
    <w:div w:id="1095901542">
      <w:bodyDiv w:val="1"/>
      <w:marLeft w:val="0"/>
      <w:marRight w:val="0"/>
      <w:marTop w:val="0"/>
      <w:marBottom w:val="0"/>
      <w:divBdr>
        <w:top w:val="none" w:sz="0" w:space="0" w:color="auto"/>
        <w:left w:val="none" w:sz="0" w:space="0" w:color="auto"/>
        <w:bottom w:val="none" w:sz="0" w:space="0" w:color="auto"/>
        <w:right w:val="none" w:sz="0" w:space="0" w:color="auto"/>
      </w:divBdr>
    </w:div>
    <w:div w:id="1182471285">
      <w:bodyDiv w:val="1"/>
      <w:marLeft w:val="0"/>
      <w:marRight w:val="0"/>
      <w:marTop w:val="0"/>
      <w:marBottom w:val="0"/>
      <w:divBdr>
        <w:top w:val="none" w:sz="0" w:space="0" w:color="auto"/>
        <w:left w:val="none" w:sz="0" w:space="0" w:color="auto"/>
        <w:bottom w:val="none" w:sz="0" w:space="0" w:color="auto"/>
        <w:right w:val="none" w:sz="0" w:space="0" w:color="auto"/>
      </w:divBdr>
    </w:div>
    <w:div w:id="1238899200">
      <w:bodyDiv w:val="1"/>
      <w:marLeft w:val="0"/>
      <w:marRight w:val="0"/>
      <w:marTop w:val="0"/>
      <w:marBottom w:val="0"/>
      <w:divBdr>
        <w:top w:val="none" w:sz="0" w:space="0" w:color="auto"/>
        <w:left w:val="none" w:sz="0" w:space="0" w:color="auto"/>
        <w:bottom w:val="none" w:sz="0" w:space="0" w:color="auto"/>
        <w:right w:val="none" w:sz="0" w:space="0" w:color="auto"/>
      </w:divBdr>
    </w:div>
    <w:div w:id="1407724189">
      <w:bodyDiv w:val="1"/>
      <w:marLeft w:val="0"/>
      <w:marRight w:val="0"/>
      <w:marTop w:val="0"/>
      <w:marBottom w:val="0"/>
      <w:divBdr>
        <w:top w:val="none" w:sz="0" w:space="0" w:color="auto"/>
        <w:left w:val="none" w:sz="0" w:space="0" w:color="auto"/>
        <w:bottom w:val="none" w:sz="0" w:space="0" w:color="auto"/>
        <w:right w:val="none" w:sz="0" w:space="0" w:color="auto"/>
      </w:divBdr>
    </w:div>
    <w:div w:id="1630548653">
      <w:bodyDiv w:val="1"/>
      <w:marLeft w:val="0"/>
      <w:marRight w:val="0"/>
      <w:marTop w:val="0"/>
      <w:marBottom w:val="0"/>
      <w:divBdr>
        <w:top w:val="none" w:sz="0" w:space="0" w:color="auto"/>
        <w:left w:val="none" w:sz="0" w:space="0" w:color="auto"/>
        <w:bottom w:val="none" w:sz="0" w:space="0" w:color="auto"/>
        <w:right w:val="none" w:sz="0" w:space="0" w:color="auto"/>
      </w:divBdr>
      <w:divsChild>
        <w:div w:id="2126144">
          <w:marLeft w:val="547"/>
          <w:marRight w:val="0"/>
          <w:marTop w:val="86"/>
          <w:marBottom w:val="120"/>
          <w:divBdr>
            <w:top w:val="none" w:sz="0" w:space="0" w:color="auto"/>
            <w:left w:val="none" w:sz="0" w:space="0" w:color="auto"/>
            <w:bottom w:val="none" w:sz="0" w:space="0" w:color="auto"/>
            <w:right w:val="none" w:sz="0" w:space="0" w:color="auto"/>
          </w:divBdr>
        </w:div>
        <w:div w:id="320669182">
          <w:marLeft w:val="547"/>
          <w:marRight w:val="0"/>
          <w:marTop w:val="86"/>
          <w:marBottom w:val="120"/>
          <w:divBdr>
            <w:top w:val="none" w:sz="0" w:space="0" w:color="auto"/>
            <w:left w:val="none" w:sz="0" w:space="0" w:color="auto"/>
            <w:bottom w:val="none" w:sz="0" w:space="0" w:color="auto"/>
            <w:right w:val="none" w:sz="0" w:space="0" w:color="auto"/>
          </w:divBdr>
        </w:div>
        <w:div w:id="1635257304">
          <w:marLeft w:val="547"/>
          <w:marRight w:val="0"/>
          <w:marTop w:val="86"/>
          <w:marBottom w:val="120"/>
          <w:divBdr>
            <w:top w:val="none" w:sz="0" w:space="0" w:color="auto"/>
            <w:left w:val="none" w:sz="0" w:space="0" w:color="auto"/>
            <w:bottom w:val="none" w:sz="0" w:space="0" w:color="auto"/>
            <w:right w:val="none" w:sz="0" w:space="0" w:color="auto"/>
          </w:divBdr>
        </w:div>
        <w:div w:id="2056151187">
          <w:marLeft w:val="547"/>
          <w:marRight w:val="0"/>
          <w:marTop w:val="86"/>
          <w:marBottom w:val="120"/>
          <w:divBdr>
            <w:top w:val="none" w:sz="0" w:space="0" w:color="auto"/>
            <w:left w:val="none" w:sz="0" w:space="0" w:color="auto"/>
            <w:bottom w:val="none" w:sz="0" w:space="0" w:color="auto"/>
            <w:right w:val="none" w:sz="0" w:space="0" w:color="auto"/>
          </w:divBdr>
        </w:div>
      </w:divsChild>
    </w:div>
    <w:div w:id="1652296090">
      <w:bodyDiv w:val="1"/>
      <w:marLeft w:val="0"/>
      <w:marRight w:val="0"/>
      <w:marTop w:val="0"/>
      <w:marBottom w:val="0"/>
      <w:divBdr>
        <w:top w:val="none" w:sz="0" w:space="0" w:color="auto"/>
        <w:left w:val="none" w:sz="0" w:space="0" w:color="auto"/>
        <w:bottom w:val="none" w:sz="0" w:space="0" w:color="auto"/>
        <w:right w:val="none" w:sz="0" w:space="0" w:color="auto"/>
      </w:divBdr>
    </w:div>
    <w:div w:id="1684894610">
      <w:bodyDiv w:val="1"/>
      <w:marLeft w:val="0"/>
      <w:marRight w:val="0"/>
      <w:marTop w:val="0"/>
      <w:marBottom w:val="0"/>
      <w:divBdr>
        <w:top w:val="none" w:sz="0" w:space="0" w:color="auto"/>
        <w:left w:val="none" w:sz="0" w:space="0" w:color="auto"/>
        <w:bottom w:val="none" w:sz="0" w:space="0" w:color="auto"/>
        <w:right w:val="none" w:sz="0" w:space="0" w:color="auto"/>
      </w:divBdr>
    </w:div>
    <w:div w:id="1709644124">
      <w:bodyDiv w:val="1"/>
      <w:marLeft w:val="0"/>
      <w:marRight w:val="0"/>
      <w:marTop w:val="0"/>
      <w:marBottom w:val="0"/>
      <w:divBdr>
        <w:top w:val="none" w:sz="0" w:space="0" w:color="auto"/>
        <w:left w:val="none" w:sz="0" w:space="0" w:color="auto"/>
        <w:bottom w:val="none" w:sz="0" w:space="0" w:color="auto"/>
        <w:right w:val="none" w:sz="0" w:space="0" w:color="auto"/>
      </w:divBdr>
    </w:div>
    <w:div w:id="1807316914">
      <w:bodyDiv w:val="1"/>
      <w:marLeft w:val="0"/>
      <w:marRight w:val="0"/>
      <w:marTop w:val="0"/>
      <w:marBottom w:val="0"/>
      <w:divBdr>
        <w:top w:val="none" w:sz="0" w:space="0" w:color="auto"/>
        <w:left w:val="none" w:sz="0" w:space="0" w:color="auto"/>
        <w:bottom w:val="none" w:sz="0" w:space="0" w:color="auto"/>
        <w:right w:val="none" w:sz="0" w:space="0" w:color="auto"/>
      </w:divBdr>
      <w:divsChild>
        <w:div w:id="399597827">
          <w:marLeft w:val="547"/>
          <w:marRight w:val="0"/>
          <w:marTop w:val="120"/>
          <w:marBottom w:val="360"/>
          <w:divBdr>
            <w:top w:val="none" w:sz="0" w:space="0" w:color="auto"/>
            <w:left w:val="none" w:sz="0" w:space="0" w:color="auto"/>
            <w:bottom w:val="none" w:sz="0" w:space="0" w:color="auto"/>
            <w:right w:val="none" w:sz="0" w:space="0" w:color="auto"/>
          </w:divBdr>
        </w:div>
        <w:div w:id="1482885554">
          <w:marLeft w:val="547"/>
          <w:marRight w:val="0"/>
          <w:marTop w:val="120"/>
          <w:marBottom w:val="360"/>
          <w:divBdr>
            <w:top w:val="none" w:sz="0" w:space="0" w:color="auto"/>
            <w:left w:val="none" w:sz="0" w:space="0" w:color="auto"/>
            <w:bottom w:val="none" w:sz="0" w:space="0" w:color="auto"/>
            <w:right w:val="none" w:sz="0" w:space="0" w:color="auto"/>
          </w:divBdr>
        </w:div>
        <w:div w:id="2137915788">
          <w:marLeft w:val="547"/>
          <w:marRight w:val="0"/>
          <w:marTop w:val="120"/>
          <w:marBottom w:val="360"/>
          <w:divBdr>
            <w:top w:val="none" w:sz="0" w:space="0" w:color="auto"/>
            <w:left w:val="none" w:sz="0" w:space="0" w:color="auto"/>
            <w:bottom w:val="none" w:sz="0" w:space="0" w:color="auto"/>
            <w:right w:val="none" w:sz="0" w:space="0" w:color="auto"/>
          </w:divBdr>
        </w:div>
      </w:divsChild>
    </w:div>
    <w:div w:id="1816099884">
      <w:bodyDiv w:val="1"/>
      <w:marLeft w:val="0"/>
      <w:marRight w:val="0"/>
      <w:marTop w:val="0"/>
      <w:marBottom w:val="0"/>
      <w:divBdr>
        <w:top w:val="none" w:sz="0" w:space="0" w:color="auto"/>
        <w:left w:val="none" w:sz="0" w:space="0" w:color="auto"/>
        <w:bottom w:val="none" w:sz="0" w:space="0" w:color="auto"/>
        <w:right w:val="none" w:sz="0" w:space="0" w:color="auto"/>
      </w:divBdr>
    </w:div>
    <w:div w:id="1879932789">
      <w:bodyDiv w:val="1"/>
      <w:marLeft w:val="0"/>
      <w:marRight w:val="0"/>
      <w:marTop w:val="0"/>
      <w:marBottom w:val="0"/>
      <w:divBdr>
        <w:top w:val="none" w:sz="0" w:space="0" w:color="auto"/>
        <w:left w:val="none" w:sz="0" w:space="0" w:color="auto"/>
        <w:bottom w:val="none" w:sz="0" w:space="0" w:color="auto"/>
        <w:right w:val="none" w:sz="0" w:space="0" w:color="auto"/>
      </w:divBdr>
      <w:divsChild>
        <w:div w:id="54357904">
          <w:marLeft w:val="547"/>
          <w:marRight w:val="0"/>
          <w:marTop w:val="115"/>
          <w:marBottom w:val="0"/>
          <w:divBdr>
            <w:top w:val="none" w:sz="0" w:space="0" w:color="auto"/>
            <w:left w:val="none" w:sz="0" w:space="0" w:color="auto"/>
            <w:bottom w:val="none" w:sz="0" w:space="0" w:color="auto"/>
            <w:right w:val="none" w:sz="0" w:space="0" w:color="auto"/>
          </w:divBdr>
        </w:div>
        <w:div w:id="2135901762">
          <w:marLeft w:val="547"/>
          <w:marRight w:val="0"/>
          <w:marTop w:val="115"/>
          <w:marBottom w:val="0"/>
          <w:divBdr>
            <w:top w:val="none" w:sz="0" w:space="0" w:color="auto"/>
            <w:left w:val="none" w:sz="0" w:space="0" w:color="auto"/>
            <w:bottom w:val="none" w:sz="0" w:space="0" w:color="auto"/>
            <w:right w:val="none" w:sz="0" w:space="0" w:color="auto"/>
          </w:divBdr>
        </w:div>
      </w:divsChild>
    </w:div>
    <w:div w:id="1945652893">
      <w:bodyDiv w:val="1"/>
      <w:marLeft w:val="0"/>
      <w:marRight w:val="0"/>
      <w:marTop w:val="0"/>
      <w:marBottom w:val="0"/>
      <w:divBdr>
        <w:top w:val="none" w:sz="0" w:space="0" w:color="auto"/>
        <w:left w:val="none" w:sz="0" w:space="0" w:color="auto"/>
        <w:bottom w:val="none" w:sz="0" w:space="0" w:color="auto"/>
        <w:right w:val="none" w:sz="0" w:space="0" w:color="auto"/>
      </w:divBdr>
      <w:divsChild>
        <w:div w:id="122699596">
          <w:marLeft w:val="547"/>
          <w:marRight w:val="0"/>
          <w:marTop w:val="96"/>
          <w:marBottom w:val="240"/>
          <w:divBdr>
            <w:top w:val="none" w:sz="0" w:space="0" w:color="auto"/>
            <w:left w:val="none" w:sz="0" w:space="0" w:color="auto"/>
            <w:bottom w:val="none" w:sz="0" w:space="0" w:color="auto"/>
            <w:right w:val="none" w:sz="0" w:space="0" w:color="auto"/>
          </w:divBdr>
        </w:div>
        <w:div w:id="647976523">
          <w:marLeft w:val="547"/>
          <w:marRight w:val="0"/>
          <w:marTop w:val="96"/>
          <w:marBottom w:val="240"/>
          <w:divBdr>
            <w:top w:val="none" w:sz="0" w:space="0" w:color="auto"/>
            <w:left w:val="none" w:sz="0" w:space="0" w:color="auto"/>
            <w:bottom w:val="none" w:sz="0" w:space="0" w:color="auto"/>
            <w:right w:val="none" w:sz="0" w:space="0" w:color="auto"/>
          </w:divBdr>
        </w:div>
        <w:div w:id="945651025">
          <w:marLeft w:val="547"/>
          <w:marRight w:val="0"/>
          <w:marTop w:val="96"/>
          <w:marBottom w:val="240"/>
          <w:divBdr>
            <w:top w:val="none" w:sz="0" w:space="0" w:color="auto"/>
            <w:left w:val="none" w:sz="0" w:space="0" w:color="auto"/>
            <w:bottom w:val="none" w:sz="0" w:space="0" w:color="auto"/>
            <w:right w:val="none" w:sz="0" w:space="0" w:color="auto"/>
          </w:divBdr>
        </w:div>
        <w:div w:id="1427261535">
          <w:marLeft w:val="547"/>
          <w:marRight w:val="0"/>
          <w:marTop w:val="96"/>
          <w:marBottom w:val="240"/>
          <w:divBdr>
            <w:top w:val="none" w:sz="0" w:space="0" w:color="auto"/>
            <w:left w:val="none" w:sz="0" w:space="0" w:color="auto"/>
            <w:bottom w:val="none" w:sz="0" w:space="0" w:color="auto"/>
            <w:right w:val="none" w:sz="0" w:space="0" w:color="auto"/>
          </w:divBdr>
        </w:div>
      </w:divsChild>
    </w:div>
    <w:div w:id="1992245180">
      <w:bodyDiv w:val="1"/>
      <w:marLeft w:val="0"/>
      <w:marRight w:val="0"/>
      <w:marTop w:val="0"/>
      <w:marBottom w:val="0"/>
      <w:divBdr>
        <w:top w:val="none" w:sz="0" w:space="0" w:color="auto"/>
        <w:left w:val="none" w:sz="0" w:space="0" w:color="auto"/>
        <w:bottom w:val="none" w:sz="0" w:space="0" w:color="auto"/>
        <w:right w:val="none" w:sz="0" w:space="0" w:color="auto"/>
      </w:divBdr>
    </w:div>
    <w:div w:id="2001764063">
      <w:bodyDiv w:val="1"/>
      <w:marLeft w:val="0"/>
      <w:marRight w:val="0"/>
      <w:marTop w:val="0"/>
      <w:marBottom w:val="0"/>
      <w:divBdr>
        <w:top w:val="none" w:sz="0" w:space="0" w:color="auto"/>
        <w:left w:val="none" w:sz="0" w:space="0" w:color="auto"/>
        <w:bottom w:val="none" w:sz="0" w:space="0" w:color="auto"/>
        <w:right w:val="none" w:sz="0" w:space="0" w:color="auto"/>
      </w:divBdr>
    </w:div>
    <w:div w:id="2031222987">
      <w:bodyDiv w:val="1"/>
      <w:marLeft w:val="0"/>
      <w:marRight w:val="0"/>
      <w:marTop w:val="0"/>
      <w:marBottom w:val="0"/>
      <w:divBdr>
        <w:top w:val="none" w:sz="0" w:space="0" w:color="auto"/>
        <w:left w:val="none" w:sz="0" w:space="0" w:color="auto"/>
        <w:bottom w:val="none" w:sz="0" w:space="0" w:color="auto"/>
        <w:right w:val="none" w:sz="0" w:space="0" w:color="auto"/>
      </w:divBdr>
    </w:div>
    <w:div w:id="2042199068">
      <w:bodyDiv w:val="1"/>
      <w:marLeft w:val="0"/>
      <w:marRight w:val="0"/>
      <w:marTop w:val="0"/>
      <w:marBottom w:val="0"/>
      <w:divBdr>
        <w:top w:val="none" w:sz="0" w:space="0" w:color="auto"/>
        <w:left w:val="none" w:sz="0" w:space="0" w:color="auto"/>
        <w:bottom w:val="none" w:sz="0" w:space="0" w:color="auto"/>
        <w:right w:val="none" w:sz="0" w:space="0" w:color="auto"/>
      </w:divBdr>
      <w:divsChild>
        <w:div w:id="555775223">
          <w:marLeft w:val="547"/>
          <w:marRight w:val="0"/>
          <w:marTop w:val="115"/>
          <w:marBottom w:val="0"/>
          <w:divBdr>
            <w:top w:val="none" w:sz="0" w:space="0" w:color="auto"/>
            <w:left w:val="none" w:sz="0" w:space="0" w:color="auto"/>
            <w:bottom w:val="none" w:sz="0" w:space="0" w:color="auto"/>
            <w:right w:val="none" w:sz="0" w:space="0" w:color="auto"/>
          </w:divBdr>
        </w:div>
        <w:div w:id="1686133391">
          <w:marLeft w:val="547"/>
          <w:marRight w:val="0"/>
          <w:marTop w:val="115"/>
          <w:marBottom w:val="0"/>
          <w:divBdr>
            <w:top w:val="none" w:sz="0" w:space="0" w:color="auto"/>
            <w:left w:val="none" w:sz="0" w:space="0" w:color="auto"/>
            <w:bottom w:val="none" w:sz="0" w:space="0" w:color="auto"/>
            <w:right w:val="none" w:sz="0" w:space="0" w:color="auto"/>
          </w:divBdr>
        </w:div>
        <w:div w:id="1280407250">
          <w:marLeft w:val="547"/>
          <w:marRight w:val="0"/>
          <w:marTop w:val="115"/>
          <w:marBottom w:val="0"/>
          <w:divBdr>
            <w:top w:val="none" w:sz="0" w:space="0" w:color="auto"/>
            <w:left w:val="none" w:sz="0" w:space="0" w:color="auto"/>
            <w:bottom w:val="none" w:sz="0" w:space="0" w:color="auto"/>
            <w:right w:val="none" w:sz="0" w:space="0" w:color="auto"/>
          </w:divBdr>
        </w:div>
        <w:div w:id="1982155387">
          <w:marLeft w:val="547"/>
          <w:marRight w:val="0"/>
          <w:marTop w:val="115"/>
          <w:marBottom w:val="0"/>
          <w:divBdr>
            <w:top w:val="none" w:sz="0" w:space="0" w:color="auto"/>
            <w:left w:val="none" w:sz="0" w:space="0" w:color="auto"/>
            <w:bottom w:val="none" w:sz="0" w:space="0" w:color="auto"/>
            <w:right w:val="none" w:sz="0" w:space="0" w:color="auto"/>
          </w:divBdr>
        </w:div>
      </w:divsChild>
    </w:div>
    <w:div w:id="21376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european-structural-investment-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D713F-6DEE-4C85-966C-0BC5AE88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Cheshire &amp; Warrington Economic Alliance</vt:lpstr>
    </vt:vector>
  </TitlesOfParts>
  <Company>CWEA</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&amp; Warrington Economic Alliance</dc:title>
  <dc:creator>Kerry Hebron</dc:creator>
  <cp:lastModifiedBy>Rachel Brosnahan</cp:lastModifiedBy>
  <cp:revision>2</cp:revision>
  <cp:lastPrinted>2018-03-14T16:40:00Z</cp:lastPrinted>
  <dcterms:created xsi:type="dcterms:W3CDTF">2018-05-10T21:22:00Z</dcterms:created>
  <dcterms:modified xsi:type="dcterms:W3CDTF">2018-05-10T21:22:00Z</dcterms:modified>
</cp:coreProperties>
</file>