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4E3E" w14:textId="4AFE5832" w:rsidR="009840B9" w:rsidRDefault="009840B9"/>
    <w:p w14:paraId="2F81A243" w14:textId="3406E5C5" w:rsidR="009840B9" w:rsidRDefault="009840B9" w:rsidP="009840B9">
      <w:pPr>
        <w:pStyle w:val="NormalWeb"/>
        <w:jc w:val="center"/>
      </w:pPr>
      <w:r>
        <w:rPr>
          <w:rFonts w:ascii="Arial" w:hAnsi="Arial" w:cs="Arial"/>
          <w:b/>
          <w:bCs/>
        </w:rPr>
        <w:t>DIGITAL CONNECTIVITY BOARD MEETING</w:t>
      </w:r>
    </w:p>
    <w:p w14:paraId="1B3AA634" w14:textId="5E7DE001" w:rsidR="009840B9" w:rsidRDefault="009840B9" w:rsidP="009840B9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Minutes of the Cheshire and Warrington Local Enterprise Partnership Digital Connectivity Board Meeting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held </w:t>
      </w:r>
      <w:r w:rsidR="007B41B2">
        <w:rPr>
          <w:rFonts w:ascii="Calibri" w:hAnsi="Calibri" w:cs="Calibri"/>
          <w:b/>
          <w:bCs/>
          <w:sz w:val="22"/>
          <w:szCs w:val="22"/>
        </w:rPr>
        <w:t>28 September</w:t>
      </w:r>
      <w:r>
        <w:rPr>
          <w:rFonts w:ascii="Calibri" w:hAnsi="Calibri" w:cs="Calibri"/>
          <w:b/>
          <w:bCs/>
          <w:sz w:val="22"/>
          <w:szCs w:val="22"/>
        </w:rPr>
        <w:t xml:space="preserve"> 2022 at </w:t>
      </w:r>
      <w:r w:rsidR="007B41B2">
        <w:rPr>
          <w:rFonts w:ascii="Calibri" w:hAnsi="Calibri" w:cs="Calibri"/>
          <w:b/>
          <w:bCs/>
          <w:sz w:val="22"/>
          <w:szCs w:val="22"/>
        </w:rPr>
        <w:t>4.30</w:t>
      </w:r>
      <w:r>
        <w:rPr>
          <w:rFonts w:ascii="Calibri" w:hAnsi="Calibri" w:cs="Calibri"/>
          <w:b/>
          <w:bCs/>
          <w:sz w:val="22"/>
          <w:szCs w:val="22"/>
        </w:rPr>
        <w:t>pm by video conference call</w:t>
      </w:r>
    </w:p>
    <w:p w14:paraId="684F9BB7" w14:textId="5115A0DC" w:rsidR="009840B9" w:rsidRDefault="009840B9" w:rsidP="009840B9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40B9" w14:paraId="6B5218AA" w14:textId="77777777" w:rsidTr="009840B9">
        <w:tc>
          <w:tcPr>
            <w:tcW w:w="2254" w:type="dxa"/>
          </w:tcPr>
          <w:p w14:paraId="1656D50C" w14:textId="7B3C96EB" w:rsidR="009840B9" w:rsidRDefault="00AD3E74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Rupert Collis (Dpty Chair)</w:t>
            </w:r>
          </w:p>
        </w:tc>
        <w:tc>
          <w:tcPr>
            <w:tcW w:w="2254" w:type="dxa"/>
          </w:tcPr>
          <w:p w14:paraId="1C37D84C" w14:textId="0CEF6542" w:rsidR="009840B9" w:rsidRDefault="00AD3E74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Calum Lewis</w:t>
            </w:r>
          </w:p>
        </w:tc>
        <w:tc>
          <w:tcPr>
            <w:tcW w:w="2254" w:type="dxa"/>
          </w:tcPr>
          <w:p w14:paraId="3E1BC79F" w14:textId="77777777" w:rsidR="003A5076" w:rsidRDefault="003A5076" w:rsidP="003A507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Richard Bailey </w:t>
            </w:r>
          </w:p>
          <w:p w14:paraId="25719229" w14:textId="77777777" w:rsidR="009840B9" w:rsidRDefault="009840B9" w:rsidP="003A5076">
            <w:pPr>
              <w:pStyle w:val="NormalWeb"/>
            </w:pPr>
          </w:p>
        </w:tc>
        <w:tc>
          <w:tcPr>
            <w:tcW w:w="2254" w:type="dxa"/>
          </w:tcPr>
          <w:p w14:paraId="1100EB5D" w14:textId="77777777" w:rsidR="009840B9" w:rsidRDefault="009840B9" w:rsidP="006F6304">
            <w:pPr>
              <w:pStyle w:val="NormalWeb"/>
            </w:pPr>
          </w:p>
        </w:tc>
      </w:tr>
      <w:tr w:rsidR="009840B9" w14:paraId="1137B644" w14:textId="77777777" w:rsidTr="009840B9">
        <w:tc>
          <w:tcPr>
            <w:tcW w:w="2254" w:type="dxa"/>
          </w:tcPr>
          <w:p w14:paraId="47890F58" w14:textId="217D3280" w:rsidR="009840B9" w:rsidRDefault="00AD3E74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Kathryn Eade</w:t>
            </w:r>
          </w:p>
        </w:tc>
        <w:tc>
          <w:tcPr>
            <w:tcW w:w="2254" w:type="dxa"/>
          </w:tcPr>
          <w:p w14:paraId="29479B60" w14:textId="77777777" w:rsidR="009840B9" w:rsidRDefault="009840B9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Helen Gopsill </w:t>
            </w:r>
          </w:p>
          <w:p w14:paraId="701E77DC" w14:textId="77777777" w:rsidR="009840B9" w:rsidRDefault="009840B9" w:rsidP="009840B9">
            <w:pPr>
              <w:pStyle w:val="NormalWeb"/>
            </w:pPr>
          </w:p>
        </w:tc>
        <w:tc>
          <w:tcPr>
            <w:tcW w:w="2254" w:type="dxa"/>
          </w:tcPr>
          <w:p w14:paraId="5BE92B68" w14:textId="6E67DC59" w:rsidR="009840B9" w:rsidRDefault="009840B9" w:rsidP="001E3555">
            <w:pPr>
              <w:pStyle w:val="NormalWeb"/>
            </w:pPr>
          </w:p>
        </w:tc>
        <w:tc>
          <w:tcPr>
            <w:tcW w:w="2254" w:type="dxa"/>
          </w:tcPr>
          <w:p w14:paraId="1B33119F" w14:textId="6F9B1315" w:rsidR="009840B9" w:rsidRPr="009840B9" w:rsidRDefault="009840B9" w:rsidP="006528A6">
            <w:pPr>
              <w:pStyle w:val="NormalWeb"/>
            </w:pPr>
          </w:p>
        </w:tc>
      </w:tr>
    </w:tbl>
    <w:p w14:paraId="449D8631" w14:textId="769EF6A8" w:rsidR="009840B9" w:rsidRDefault="009840B9" w:rsidP="009840B9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attendance: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840B9" w14:paraId="478C07B9" w14:textId="77777777" w:rsidTr="009840B9">
        <w:tc>
          <w:tcPr>
            <w:tcW w:w="1803" w:type="dxa"/>
          </w:tcPr>
          <w:p w14:paraId="7F7D6895" w14:textId="262A41A8" w:rsidR="009840B9" w:rsidRDefault="006528A6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Roy Newton </w:t>
            </w:r>
          </w:p>
        </w:tc>
        <w:tc>
          <w:tcPr>
            <w:tcW w:w="1803" w:type="dxa"/>
          </w:tcPr>
          <w:p w14:paraId="0922245A" w14:textId="2F0A9079" w:rsidR="009840B9" w:rsidRDefault="003A5076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Ian Brooks</w:t>
            </w:r>
          </w:p>
        </w:tc>
        <w:tc>
          <w:tcPr>
            <w:tcW w:w="1803" w:type="dxa"/>
          </w:tcPr>
          <w:p w14:paraId="7DD94CDC" w14:textId="7B5BC9E0" w:rsidR="009840B9" w:rsidRDefault="00AD3E74" w:rsidP="00AD3E74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Charles Jarvis</w:t>
            </w:r>
          </w:p>
        </w:tc>
        <w:tc>
          <w:tcPr>
            <w:tcW w:w="1803" w:type="dxa"/>
          </w:tcPr>
          <w:p w14:paraId="14668EA8" w14:textId="67EEC5CE" w:rsidR="009840B9" w:rsidRDefault="000B4E72" w:rsidP="009840B9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Stephen Fitzsimmons</w:t>
            </w:r>
          </w:p>
        </w:tc>
        <w:tc>
          <w:tcPr>
            <w:tcW w:w="1804" w:type="dxa"/>
          </w:tcPr>
          <w:p w14:paraId="3D7B8AE3" w14:textId="77777777" w:rsidR="009840B9" w:rsidRDefault="009840B9" w:rsidP="009840B9">
            <w:pPr>
              <w:pStyle w:val="NormalWeb"/>
            </w:pPr>
          </w:p>
        </w:tc>
      </w:tr>
    </w:tbl>
    <w:p w14:paraId="1C3F62AE" w14:textId="49168857" w:rsidR="006528A6" w:rsidRDefault="006528A6" w:rsidP="006528A6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Apologies: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528A6" w14:paraId="00D4BDF3" w14:textId="77777777" w:rsidTr="00902408">
        <w:tc>
          <w:tcPr>
            <w:tcW w:w="1803" w:type="dxa"/>
          </w:tcPr>
          <w:p w14:paraId="46B95D8A" w14:textId="138A6E96" w:rsidR="006528A6" w:rsidRDefault="00AD3E74" w:rsidP="001E3555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Nicola Dunbar (Chair)</w:t>
            </w:r>
          </w:p>
        </w:tc>
        <w:tc>
          <w:tcPr>
            <w:tcW w:w="1803" w:type="dxa"/>
          </w:tcPr>
          <w:p w14:paraId="5046570A" w14:textId="30AA850B" w:rsidR="006528A6" w:rsidRDefault="00AD3E74" w:rsidP="001E3555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Connor Diskin</w:t>
            </w:r>
          </w:p>
        </w:tc>
        <w:tc>
          <w:tcPr>
            <w:tcW w:w="1803" w:type="dxa"/>
          </w:tcPr>
          <w:p w14:paraId="65B34CB2" w14:textId="77777777" w:rsidR="00AD3E74" w:rsidRDefault="00AD3E74" w:rsidP="00AD3E74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Sarah Williams </w:t>
            </w:r>
          </w:p>
          <w:p w14:paraId="358607A8" w14:textId="4CD128EE" w:rsidR="006528A6" w:rsidRDefault="006528A6" w:rsidP="003C23DA">
            <w:pPr>
              <w:pStyle w:val="NormalWeb"/>
            </w:pPr>
          </w:p>
        </w:tc>
        <w:tc>
          <w:tcPr>
            <w:tcW w:w="1803" w:type="dxa"/>
          </w:tcPr>
          <w:p w14:paraId="71E07685" w14:textId="0F9304D4" w:rsidR="006528A6" w:rsidRDefault="000B4E72" w:rsidP="003C23DA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Eleanor Blackburn</w:t>
            </w:r>
          </w:p>
        </w:tc>
        <w:tc>
          <w:tcPr>
            <w:tcW w:w="1804" w:type="dxa"/>
          </w:tcPr>
          <w:p w14:paraId="39591675" w14:textId="77777777" w:rsidR="006F6304" w:rsidRDefault="006F6304" w:rsidP="006F6304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Becky Stuttard </w:t>
            </w:r>
          </w:p>
          <w:p w14:paraId="4B2FB8E3" w14:textId="559D5357" w:rsidR="006528A6" w:rsidRDefault="006528A6" w:rsidP="003C23DA">
            <w:pPr>
              <w:pStyle w:val="NormalWeb"/>
            </w:pPr>
          </w:p>
        </w:tc>
      </w:tr>
    </w:tbl>
    <w:p w14:paraId="0A0631D5" w14:textId="549DB375" w:rsidR="006528A6" w:rsidRDefault="006528A6" w:rsidP="006528A6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Members of the Public (for Part A):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528A6" w14:paraId="413C1465" w14:textId="77777777" w:rsidTr="00902408">
        <w:tc>
          <w:tcPr>
            <w:tcW w:w="1803" w:type="dxa"/>
          </w:tcPr>
          <w:p w14:paraId="2AB26689" w14:textId="11CF338D" w:rsidR="006528A6" w:rsidRDefault="001D1C2E" w:rsidP="0090240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  <w:r w:rsidR="006528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14:paraId="19146B6A" w14:textId="77777777" w:rsidR="006528A6" w:rsidRDefault="006528A6" w:rsidP="00902408">
            <w:pPr>
              <w:pStyle w:val="NormalWeb"/>
            </w:pPr>
          </w:p>
        </w:tc>
        <w:tc>
          <w:tcPr>
            <w:tcW w:w="1803" w:type="dxa"/>
          </w:tcPr>
          <w:p w14:paraId="3F698C96" w14:textId="77777777" w:rsidR="006528A6" w:rsidRDefault="006528A6" w:rsidP="00902408">
            <w:pPr>
              <w:pStyle w:val="NormalWeb"/>
            </w:pPr>
          </w:p>
        </w:tc>
        <w:tc>
          <w:tcPr>
            <w:tcW w:w="1803" w:type="dxa"/>
          </w:tcPr>
          <w:p w14:paraId="4F43307B" w14:textId="77777777" w:rsidR="006528A6" w:rsidRDefault="006528A6" w:rsidP="00902408">
            <w:pPr>
              <w:pStyle w:val="NormalWeb"/>
            </w:pPr>
          </w:p>
        </w:tc>
        <w:tc>
          <w:tcPr>
            <w:tcW w:w="1804" w:type="dxa"/>
          </w:tcPr>
          <w:p w14:paraId="5FA7BE4A" w14:textId="77777777" w:rsidR="006528A6" w:rsidRDefault="006528A6" w:rsidP="00902408">
            <w:pPr>
              <w:pStyle w:val="NormalWeb"/>
            </w:pPr>
          </w:p>
        </w:tc>
      </w:tr>
    </w:tbl>
    <w:p w14:paraId="41BB17DA" w14:textId="20949161" w:rsidR="006528A6" w:rsidRDefault="006528A6" w:rsidP="006528A6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Agenda Item 1: Apologies and Introductions</w:t>
      </w:r>
    </w:p>
    <w:p w14:paraId="7E9A098E" w14:textId="67542032" w:rsidR="006528A6" w:rsidRDefault="000B4E72" w:rsidP="004E12B3">
      <w:pPr>
        <w:pStyle w:val="NormalWeb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Rupert Collis</w:t>
      </w:r>
      <w:r w:rsidR="004E12B3" w:rsidRPr="004E12B3">
        <w:rPr>
          <w:rFonts w:ascii="Calibri" w:hAnsi="Calibri" w:cs="Calibri"/>
          <w:sz w:val="22"/>
          <w:szCs w:val="22"/>
        </w:rPr>
        <w:t xml:space="preserve"> welcomed members. Apologies were noted as above.</w:t>
      </w:r>
    </w:p>
    <w:p w14:paraId="78EAE417" w14:textId="77777777" w:rsidR="0020079A" w:rsidRDefault="00B01546" w:rsidP="0020079A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Agenda Item 2: Conflicts of Interest</w:t>
      </w:r>
    </w:p>
    <w:p w14:paraId="1E1C9079" w14:textId="101F32E4" w:rsidR="00B01546" w:rsidRDefault="0020079A" w:rsidP="00B01546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 None. [An ongoing conflict was noted for Rupert Collis in that Fisher German are acting for Cadent with respect to Hynet].</w:t>
      </w:r>
    </w:p>
    <w:p w14:paraId="060BD033" w14:textId="16C4D192" w:rsidR="00B32955" w:rsidRDefault="00D16F7D" w:rsidP="00B32955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Agenda Item </w:t>
      </w:r>
      <w:r w:rsidR="00A61AA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: Minutes of Meeting </w:t>
      </w:r>
      <w:r w:rsidR="006751B3">
        <w:rPr>
          <w:rFonts w:ascii="Calibri" w:hAnsi="Calibri" w:cs="Calibri"/>
          <w:b/>
          <w:bCs/>
          <w:sz w:val="22"/>
          <w:szCs w:val="22"/>
        </w:rPr>
        <w:t>31</w:t>
      </w:r>
      <w:r w:rsidR="006751B3" w:rsidRPr="006751B3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6751B3">
        <w:rPr>
          <w:rFonts w:ascii="Calibri" w:hAnsi="Calibri" w:cs="Calibri"/>
          <w:b/>
          <w:bCs/>
          <w:sz w:val="22"/>
          <w:szCs w:val="22"/>
        </w:rPr>
        <w:t xml:space="preserve"> August</w:t>
      </w:r>
      <w:r>
        <w:rPr>
          <w:rFonts w:ascii="Calibri" w:hAnsi="Calibri" w:cs="Calibri"/>
          <w:b/>
          <w:bCs/>
          <w:sz w:val="22"/>
          <w:szCs w:val="22"/>
        </w:rPr>
        <w:t xml:space="preserve"> 2022 and Matters Arising</w:t>
      </w:r>
    </w:p>
    <w:p w14:paraId="586D4EDC" w14:textId="51E382E7" w:rsidR="00B32955" w:rsidRDefault="00B32955" w:rsidP="00B3295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 </w:t>
      </w:r>
      <w:r w:rsidRPr="004E12B3">
        <w:rPr>
          <w:rFonts w:ascii="Calibri" w:hAnsi="Calibri" w:cs="Calibri"/>
          <w:sz w:val="22"/>
          <w:szCs w:val="22"/>
        </w:rPr>
        <w:t xml:space="preserve">The minutes of the meeting held on </w:t>
      </w:r>
      <w:r w:rsidR="006751B3">
        <w:rPr>
          <w:rFonts w:ascii="Calibri" w:hAnsi="Calibri" w:cs="Calibri"/>
          <w:sz w:val="22"/>
          <w:szCs w:val="22"/>
        </w:rPr>
        <w:t>31</w:t>
      </w:r>
      <w:r w:rsidR="006751B3" w:rsidRPr="006751B3">
        <w:rPr>
          <w:rFonts w:ascii="Calibri" w:hAnsi="Calibri" w:cs="Calibri"/>
          <w:sz w:val="22"/>
          <w:szCs w:val="22"/>
          <w:vertAlign w:val="superscript"/>
        </w:rPr>
        <w:t>st</w:t>
      </w:r>
      <w:r w:rsidR="006751B3">
        <w:rPr>
          <w:rFonts w:ascii="Calibri" w:hAnsi="Calibri" w:cs="Calibri"/>
          <w:sz w:val="22"/>
          <w:szCs w:val="22"/>
        </w:rPr>
        <w:t xml:space="preserve"> August, </w:t>
      </w:r>
      <w:r w:rsidRPr="004E12B3">
        <w:rPr>
          <w:rFonts w:ascii="Calibri" w:hAnsi="Calibri" w:cs="Calibri"/>
          <w:sz w:val="22"/>
          <w:szCs w:val="22"/>
        </w:rPr>
        <w:t>2022 were accepted as an accurate record.</w:t>
      </w:r>
    </w:p>
    <w:p w14:paraId="10E30843" w14:textId="1A9C9258" w:rsidR="004524ED" w:rsidRDefault="004524ED" w:rsidP="00B3295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Matters Arising</w:t>
      </w:r>
    </w:p>
    <w:p w14:paraId="1E46DA2B" w14:textId="712085BE" w:rsidR="00DC1D3B" w:rsidRPr="004E12B3" w:rsidRDefault="00DC1D3B" w:rsidP="00B32955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 </w:t>
      </w:r>
      <w:r w:rsidR="004A2A11">
        <w:rPr>
          <w:rFonts w:ascii="Calibri" w:hAnsi="Calibri" w:cs="Calibri"/>
          <w:sz w:val="22"/>
          <w:szCs w:val="22"/>
        </w:rPr>
        <w:t xml:space="preserve">RC highlighted the point raised in August that </w:t>
      </w:r>
      <w:r w:rsidR="009C461C">
        <w:rPr>
          <w:rFonts w:ascii="Calibri" w:hAnsi="Calibri" w:cs="Calibri"/>
          <w:sz w:val="22"/>
          <w:szCs w:val="22"/>
        </w:rPr>
        <w:t xml:space="preserve">we may be able influence the allocation of SPF funds towards meeting digital priorities.  </w:t>
      </w:r>
      <w:r w:rsidR="003D6FA6">
        <w:rPr>
          <w:rFonts w:ascii="Calibri" w:hAnsi="Calibri" w:cs="Calibri"/>
          <w:sz w:val="22"/>
          <w:szCs w:val="22"/>
        </w:rPr>
        <w:t xml:space="preserve">CJ informed the board that he </w:t>
      </w:r>
      <w:r w:rsidR="00E42407">
        <w:rPr>
          <w:rFonts w:ascii="Calibri" w:hAnsi="Calibri" w:cs="Calibri"/>
          <w:sz w:val="22"/>
          <w:szCs w:val="22"/>
        </w:rPr>
        <w:t>will be</w:t>
      </w:r>
      <w:r w:rsidR="003D6FA6">
        <w:rPr>
          <w:rFonts w:ascii="Calibri" w:hAnsi="Calibri" w:cs="Calibri"/>
          <w:sz w:val="22"/>
          <w:szCs w:val="22"/>
        </w:rPr>
        <w:t xml:space="preserve"> present</w:t>
      </w:r>
      <w:r w:rsidR="00E42407">
        <w:rPr>
          <w:rFonts w:ascii="Calibri" w:hAnsi="Calibri" w:cs="Calibri"/>
          <w:sz w:val="22"/>
          <w:szCs w:val="22"/>
        </w:rPr>
        <w:t>ing</w:t>
      </w:r>
      <w:r w:rsidR="003D6FA6">
        <w:rPr>
          <w:rFonts w:ascii="Calibri" w:hAnsi="Calibri" w:cs="Calibri"/>
          <w:sz w:val="22"/>
          <w:szCs w:val="22"/>
        </w:rPr>
        <w:t xml:space="preserve"> an </w:t>
      </w:r>
      <w:r w:rsidR="003D6FA6">
        <w:rPr>
          <w:rFonts w:ascii="Calibri" w:hAnsi="Calibri" w:cs="Calibri"/>
          <w:sz w:val="22"/>
          <w:szCs w:val="22"/>
        </w:rPr>
        <w:lastRenderedPageBreak/>
        <w:t xml:space="preserve">investment prospectus </w:t>
      </w:r>
      <w:r w:rsidR="00E42407">
        <w:rPr>
          <w:rFonts w:ascii="Calibri" w:hAnsi="Calibri" w:cs="Calibri"/>
          <w:sz w:val="22"/>
          <w:szCs w:val="22"/>
        </w:rPr>
        <w:t>for digital infrastructure to Growth Directors on 20</w:t>
      </w:r>
      <w:r w:rsidR="00E42407" w:rsidRPr="00E42407">
        <w:rPr>
          <w:rFonts w:ascii="Calibri" w:hAnsi="Calibri" w:cs="Calibri"/>
          <w:sz w:val="22"/>
          <w:szCs w:val="22"/>
          <w:vertAlign w:val="superscript"/>
        </w:rPr>
        <w:t>th</w:t>
      </w:r>
      <w:r w:rsidR="00E42407">
        <w:rPr>
          <w:rFonts w:ascii="Calibri" w:hAnsi="Calibri" w:cs="Calibri"/>
          <w:sz w:val="22"/>
          <w:szCs w:val="22"/>
        </w:rPr>
        <w:t xml:space="preserve"> October. </w:t>
      </w:r>
      <w:r w:rsidR="00DC5D92">
        <w:rPr>
          <w:rFonts w:ascii="Calibri" w:hAnsi="Calibri" w:cs="Calibri"/>
          <w:sz w:val="22"/>
          <w:szCs w:val="22"/>
        </w:rPr>
        <w:t xml:space="preserve">IB will meet with CJ </w:t>
      </w:r>
      <w:r w:rsidR="00D57CDE">
        <w:rPr>
          <w:rFonts w:ascii="Calibri" w:hAnsi="Calibri" w:cs="Calibri"/>
          <w:sz w:val="22"/>
          <w:szCs w:val="22"/>
        </w:rPr>
        <w:t xml:space="preserve">prior to the meeting.  </w:t>
      </w:r>
    </w:p>
    <w:p w14:paraId="6EB45B38" w14:textId="77777777" w:rsidR="00B32955" w:rsidRDefault="00A61AA1" w:rsidP="00B32955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Agenda Item 4: Public presentation</w:t>
      </w:r>
    </w:p>
    <w:p w14:paraId="618B93D5" w14:textId="63E1F657" w:rsidR="00B32955" w:rsidRDefault="00B32955" w:rsidP="00B32955">
      <w:pPr>
        <w:pStyle w:val="NormalWeb"/>
        <w:rPr>
          <w:rFonts w:ascii="Calibri" w:hAnsi="Calibri" w:cs="Calibri"/>
          <w:sz w:val="22"/>
          <w:szCs w:val="22"/>
        </w:rPr>
      </w:pPr>
      <w:r w:rsidRPr="001D1C2E">
        <w:rPr>
          <w:rFonts w:ascii="Calibri" w:hAnsi="Calibri" w:cs="Calibri"/>
          <w:sz w:val="22"/>
          <w:szCs w:val="22"/>
        </w:rPr>
        <w:t>4.1 There were no public presentations.</w:t>
      </w:r>
    </w:p>
    <w:p w14:paraId="1E2BCAC7" w14:textId="78822B9C" w:rsidR="00A61AA1" w:rsidRDefault="00A61AA1" w:rsidP="00A61AA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Agenda Item 5: Update on </w:t>
      </w:r>
      <w:r w:rsidR="00A11719">
        <w:rPr>
          <w:rFonts w:asciiTheme="minorHAnsi" w:hAnsiTheme="minorHAnsi" w:cstheme="minorHAnsi"/>
          <w:b/>
          <w:bCs/>
          <w:sz w:val="22"/>
          <w:szCs w:val="22"/>
        </w:rPr>
        <w:t>Digital Skills and Skills Bootcamps</w:t>
      </w:r>
      <w:r w:rsidR="006F63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0585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668F47" w14:textId="6CD9CDE9" w:rsidR="00EA2DA7" w:rsidRDefault="003A5A07" w:rsidP="0020079A">
      <w:pPr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172D81">
        <w:rPr>
          <w:sz w:val="22"/>
          <w:szCs w:val="22"/>
        </w:rPr>
        <w:t>In the absence of SW, I</w:t>
      </w:r>
      <w:r w:rsidR="00F876A7" w:rsidRPr="00BF70E1">
        <w:rPr>
          <w:sz w:val="22"/>
          <w:szCs w:val="22"/>
        </w:rPr>
        <w:t xml:space="preserve">B </w:t>
      </w:r>
      <w:r w:rsidR="00172D81">
        <w:rPr>
          <w:sz w:val="22"/>
          <w:szCs w:val="22"/>
        </w:rPr>
        <w:t xml:space="preserve">provided a short verbal update. </w:t>
      </w:r>
      <w:r w:rsidR="0003028E">
        <w:rPr>
          <w:sz w:val="22"/>
          <w:szCs w:val="22"/>
        </w:rPr>
        <w:t xml:space="preserve"> SW had provided the board with a draft copy of the </w:t>
      </w:r>
      <w:r w:rsidR="00A80DBB">
        <w:rPr>
          <w:sz w:val="22"/>
          <w:szCs w:val="22"/>
        </w:rPr>
        <w:t>latest skills report, which is a comprehensive study</w:t>
      </w:r>
      <w:r w:rsidR="007B7AEB">
        <w:rPr>
          <w:sz w:val="22"/>
          <w:szCs w:val="22"/>
        </w:rPr>
        <w:t xml:space="preserve">.  </w:t>
      </w:r>
      <w:r w:rsidR="00C549EE">
        <w:rPr>
          <w:sz w:val="22"/>
          <w:szCs w:val="22"/>
        </w:rPr>
        <w:t>T</w:t>
      </w:r>
      <w:r w:rsidR="007B7AEB">
        <w:rPr>
          <w:sz w:val="22"/>
          <w:szCs w:val="22"/>
        </w:rPr>
        <w:t xml:space="preserve">he report addresses skills through the lens of the needs of the business community, </w:t>
      </w:r>
      <w:r w:rsidR="00903A68">
        <w:rPr>
          <w:sz w:val="22"/>
          <w:szCs w:val="22"/>
        </w:rPr>
        <w:t>digital occupations and the digital sector</w:t>
      </w:r>
      <w:r w:rsidR="003310C4">
        <w:rPr>
          <w:sz w:val="22"/>
          <w:szCs w:val="22"/>
        </w:rPr>
        <w:t xml:space="preserve"> and explores </w:t>
      </w:r>
      <w:r w:rsidR="00521683">
        <w:rPr>
          <w:sz w:val="22"/>
          <w:szCs w:val="22"/>
        </w:rPr>
        <w:t xml:space="preserve">less consumer attitudes towards obtaining </w:t>
      </w:r>
      <w:r w:rsidR="00446CD4">
        <w:rPr>
          <w:sz w:val="22"/>
          <w:szCs w:val="22"/>
        </w:rPr>
        <w:t>th</w:t>
      </w:r>
      <w:r w:rsidR="00042F41">
        <w:rPr>
          <w:sz w:val="22"/>
          <w:szCs w:val="22"/>
        </w:rPr>
        <w:t>ose</w:t>
      </w:r>
      <w:r w:rsidR="00446CD4">
        <w:rPr>
          <w:sz w:val="22"/>
          <w:szCs w:val="22"/>
        </w:rPr>
        <w:t xml:space="preserve"> skills or seeking employment in the digital sector.  </w:t>
      </w:r>
      <w:r w:rsidR="00521683">
        <w:rPr>
          <w:sz w:val="22"/>
          <w:szCs w:val="22"/>
        </w:rPr>
        <w:t xml:space="preserve"> </w:t>
      </w:r>
      <w:r w:rsidR="00042F41">
        <w:rPr>
          <w:sz w:val="22"/>
          <w:szCs w:val="22"/>
        </w:rPr>
        <w:t xml:space="preserve">These are </w:t>
      </w:r>
      <w:r w:rsidR="00A27B64">
        <w:rPr>
          <w:sz w:val="22"/>
          <w:szCs w:val="22"/>
        </w:rPr>
        <w:t>issues that will be researched further</w:t>
      </w:r>
      <w:r w:rsidR="00055323">
        <w:rPr>
          <w:sz w:val="22"/>
          <w:szCs w:val="22"/>
        </w:rPr>
        <w:t xml:space="preserve">.  </w:t>
      </w:r>
      <w:r w:rsidR="002F438F">
        <w:rPr>
          <w:sz w:val="22"/>
          <w:szCs w:val="22"/>
        </w:rPr>
        <w:t xml:space="preserve">Recognising that parents are key influencers over the choices made by </w:t>
      </w:r>
      <w:r w:rsidR="008E71FA">
        <w:rPr>
          <w:sz w:val="22"/>
          <w:szCs w:val="22"/>
        </w:rPr>
        <w:t>young people, t</w:t>
      </w:r>
      <w:r w:rsidR="00055323">
        <w:rPr>
          <w:sz w:val="22"/>
          <w:szCs w:val="22"/>
        </w:rPr>
        <w:t xml:space="preserve">he Pledge is commissioning some market research to examine </w:t>
      </w:r>
      <w:r w:rsidR="002F438F">
        <w:rPr>
          <w:sz w:val="22"/>
          <w:szCs w:val="22"/>
        </w:rPr>
        <w:t>the know</w:t>
      </w:r>
      <w:r w:rsidR="008E71FA">
        <w:rPr>
          <w:sz w:val="22"/>
          <w:szCs w:val="22"/>
        </w:rPr>
        <w:t xml:space="preserve">ledge and awareness of digital opportunities. </w:t>
      </w:r>
      <w:r w:rsidR="00D85E08">
        <w:rPr>
          <w:sz w:val="22"/>
          <w:szCs w:val="22"/>
        </w:rPr>
        <w:t xml:space="preserve"> In addition, the LEP is planning to commission a study </w:t>
      </w:r>
      <w:r w:rsidR="00CC4E77">
        <w:rPr>
          <w:sz w:val="22"/>
          <w:szCs w:val="22"/>
        </w:rPr>
        <w:t>which will seek to inform our understanding of the barriers to digital uptake</w:t>
      </w:r>
      <w:r w:rsidR="00EA2DA7">
        <w:rPr>
          <w:sz w:val="22"/>
          <w:szCs w:val="22"/>
        </w:rPr>
        <w:t>.  The specification was a l</w:t>
      </w:r>
      <w:r w:rsidR="00667C3C">
        <w:rPr>
          <w:sz w:val="22"/>
          <w:szCs w:val="22"/>
        </w:rPr>
        <w:t>a</w:t>
      </w:r>
      <w:r w:rsidR="00EA2DA7">
        <w:rPr>
          <w:sz w:val="22"/>
          <w:szCs w:val="22"/>
        </w:rPr>
        <w:t xml:space="preserve">ter item on the agenda. </w:t>
      </w:r>
    </w:p>
    <w:p w14:paraId="30948836" w14:textId="77777777" w:rsidR="00EA2DA7" w:rsidRDefault="00EA2DA7" w:rsidP="0020079A">
      <w:pPr>
        <w:rPr>
          <w:sz w:val="22"/>
          <w:szCs w:val="22"/>
        </w:rPr>
      </w:pPr>
    </w:p>
    <w:p w14:paraId="5FAA2BE0" w14:textId="70B6354E" w:rsidR="00A9383F" w:rsidRDefault="00824CEE" w:rsidP="0020079A">
      <w:pPr>
        <w:rPr>
          <w:sz w:val="22"/>
          <w:szCs w:val="22"/>
        </w:rPr>
      </w:pPr>
      <w:r>
        <w:rPr>
          <w:sz w:val="22"/>
          <w:szCs w:val="22"/>
        </w:rPr>
        <w:t xml:space="preserve">5.2 IB </w:t>
      </w:r>
      <w:r w:rsidR="00F876A7" w:rsidRPr="00BF70E1">
        <w:rPr>
          <w:sz w:val="22"/>
          <w:szCs w:val="22"/>
        </w:rPr>
        <w:t>r</w:t>
      </w:r>
      <w:r w:rsidR="0020079A" w:rsidRPr="00BF70E1">
        <w:rPr>
          <w:sz w:val="22"/>
          <w:szCs w:val="22"/>
        </w:rPr>
        <w:t>emind</w:t>
      </w:r>
      <w:r w:rsidR="00F876A7" w:rsidRPr="00BF70E1">
        <w:rPr>
          <w:sz w:val="22"/>
          <w:szCs w:val="22"/>
        </w:rPr>
        <w:t>ed members</w:t>
      </w:r>
      <w:r w:rsidR="0020079A" w:rsidRPr="00BF70E1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two </w:t>
      </w:r>
      <w:r w:rsidR="00923898">
        <w:rPr>
          <w:sz w:val="22"/>
          <w:szCs w:val="22"/>
        </w:rPr>
        <w:t xml:space="preserve">procurement rounds of bootcamps had been completed.  After </w:t>
      </w:r>
      <w:r w:rsidR="000152F9">
        <w:rPr>
          <w:sz w:val="22"/>
          <w:szCs w:val="22"/>
        </w:rPr>
        <w:t xml:space="preserve">the initial establishment of 3 bootcamps, as a pilot, lot 2 had sought </w:t>
      </w:r>
      <w:r w:rsidR="005F6DAA">
        <w:rPr>
          <w:sz w:val="22"/>
          <w:szCs w:val="22"/>
        </w:rPr>
        <w:t xml:space="preserve">interest to deliver 9 bootcamps mostly focussed on digital </w:t>
      </w:r>
      <w:r w:rsidR="00436C5F">
        <w:rPr>
          <w:sz w:val="22"/>
          <w:szCs w:val="22"/>
        </w:rPr>
        <w:t xml:space="preserve">skills.  This round had been partially successful, </w:t>
      </w:r>
      <w:r w:rsidR="007933A6">
        <w:rPr>
          <w:sz w:val="22"/>
          <w:szCs w:val="22"/>
        </w:rPr>
        <w:t xml:space="preserve">but some expressions were not taken forward to contracts.  </w:t>
      </w:r>
      <w:r w:rsidR="007F7CD3">
        <w:rPr>
          <w:sz w:val="22"/>
          <w:szCs w:val="22"/>
        </w:rPr>
        <w:t>To complete the programme</w:t>
      </w:r>
      <w:r w:rsidR="0080543D">
        <w:rPr>
          <w:sz w:val="22"/>
          <w:szCs w:val="22"/>
        </w:rPr>
        <w:t>,</w:t>
      </w:r>
      <w:r w:rsidR="00EE0118">
        <w:rPr>
          <w:sz w:val="22"/>
          <w:szCs w:val="22"/>
        </w:rPr>
        <w:t xml:space="preserve"> it has been necessary to</w:t>
      </w:r>
      <w:r w:rsidR="005A1455">
        <w:rPr>
          <w:sz w:val="22"/>
          <w:szCs w:val="22"/>
        </w:rPr>
        <w:t xml:space="preserve"> run</w:t>
      </w:r>
      <w:r w:rsidR="00EE0118">
        <w:rPr>
          <w:sz w:val="22"/>
          <w:szCs w:val="22"/>
        </w:rPr>
        <w:t xml:space="preserve"> a third round of procurement</w:t>
      </w:r>
      <w:r w:rsidR="005A1455">
        <w:rPr>
          <w:sz w:val="22"/>
          <w:szCs w:val="22"/>
        </w:rPr>
        <w:t xml:space="preserve"> for which</w:t>
      </w:r>
      <w:r w:rsidR="007F7CD3">
        <w:rPr>
          <w:sz w:val="22"/>
          <w:szCs w:val="22"/>
        </w:rPr>
        <w:t xml:space="preserve"> the LEP adapted its approach</w:t>
      </w:r>
      <w:r w:rsidR="005A1455">
        <w:rPr>
          <w:sz w:val="22"/>
          <w:szCs w:val="22"/>
        </w:rPr>
        <w:t xml:space="preserve">.  Rather than set </w:t>
      </w:r>
      <w:r w:rsidR="00DF6613">
        <w:rPr>
          <w:sz w:val="22"/>
          <w:szCs w:val="22"/>
        </w:rPr>
        <w:t>specific requirements for potential bids, the LEP</w:t>
      </w:r>
      <w:r w:rsidR="004809BE">
        <w:rPr>
          <w:sz w:val="22"/>
          <w:szCs w:val="22"/>
        </w:rPr>
        <w:t xml:space="preserve"> tried</w:t>
      </w:r>
      <w:r w:rsidR="00DF6613">
        <w:rPr>
          <w:sz w:val="22"/>
          <w:szCs w:val="22"/>
        </w:rPr>
        <w:t xml:space="preserve"> an open approach seeking bids from providers</w:t>
      </w:r>
      <w:r w:rsidR="0080543D">
        <w:rPr>
          <w:sz w:val="22"/>
          <w:szCs w:val="22"/>
        </w:rPr>
        <w:t>/employers</w:t>
      </w:r>
      <w:r w:rsidR="00DF6613">
        <w:rPr>
          <w:sz w:val="22"/>
          <w:szCs w:val="22"/>
        </w:rPr>
        <w:t xml:space="preserve"> </w:t>
      </w:r>
      <w:r w:rsidR="00CA7191">
        <w:rPr>
          <w:sz w:val="22"/>
          <w:szCs w:val="22"/>
        </w:rPr>
        <w:t>so long as they met one or other of the DfE eligible themes.</w:t>
      </w:r>
      <w:r w:rsidR="0080543D">
        <w:rPr>
          <w:sz w:val="22"/>
          <w:szCs w:val="22"/>
        </w:rPr>
        <w:t xml:space="preserve">  At the time of the meeting </w:t>
      </w:r>
      <w:r w:rsidR="00822A81">
        <w:rPr>
          <w:sz w:val="22"/>
          <w:szCs w:val="22"/>
        </w:rPr>
        <w:t xml:space="preserve">12 E.o.I had been received, </w:t>
      </w:r>
      <w:r w:rsidR="00A43CD6">
        <w:rPr>
          <w:sz w:val="22"/>
          <w:szCs w:val="22"/>
        </w:rPr>
        <w:t xml:space="preserve">from 7 providers.  While the training </w:t>
      </w:r>
      <w:r w:rsidR="00E03FE0">
        <w:rPr>
          <w:sz w:val="22"/>
          <w:szCs w:val="22"/>
        </w:rPr>
        <w:t>proposed i</w:t>
      </w:r>
      <w:r w:rsidR="00A43CD6">
        <w:rPr>
          <w:sz w:val="22"/>
          <w:szCs w:val="22"/>
        </w:rPr>
        <w:t xml:space="preserve">s not </w:t>
      </w:r>
      <w:r w:rsidR="00E03FE0">
        <w:rPr>
          <w:sz w:val="22"/>
          <w:szCs w:val="22"/>
        </w:rPr>
        <w:t xml:space="preserve">“purely” digital, </w:t>
      </w:r>
      <w:r w:rsidR="00842218">
        <w:rPr>
          <w:sz w:val="22"/>
          <w:szCs w:val="22"/>
        </w:rPr>
        <w:t>e.g.</w:t>
      </w:r>
      <w:r w:rsidR="00124E57">
        <w:rPr>
          <w:sz w:val="22"/>
          <w:szCs w:val="22"/>
        </w:rPr>
        <w:t>,</w:t>
      </w:r>
      <w:r w:rsidR="00842218">
        <w:rPr>
          <w:sz w:val="22"/>
          <w:szCs w:val="22"/>
        </w:rPr>
        <w:t xml:space="preserve"> </w:t>
      </w:r>
      <w:r w:rsidR="00424DCD">
        <w:rPr>
          <w:sz w:val="22"/>
          <w:szCs w:val="22"/>
        </w:rPr>
        <w:t>perhaps focussed on a subject in advanced manufacturing</w:t>
      </w:r>
      <w:r w:rsidR="004809BE">
        <w:rPr>
          <w:sz w:val="22"/>
          <w:szCs w:val="22"/>
        </w:rPr>
        <w:t>,</w:t>
      </w:r>
      <w:r w:rsidR="00424DCD">
        <w:rPr>
          <w:sz w:val="22"/>
          <w:szCs w:val="22"/>
        </w:rPr>
        <w:t xml:space="preserve"> </w:t>
      </w:r>
      <w:r w:rsidR="00E03FE0">
        <w:rPr>
          <w:sz w:val="22"/>
          <w:szCs w:val="22"/>
        </w:rPr>
        <w:t xml:space="preserve">many of the programmes </w:t>
      </w:r>
      <w:r w:rsidR="00842218">
        <w:rPr>
          <w:sz w:val="22"/>
          <w:szCs w:val="22"/>
        </w:rPr>
        <w:t>include a strong digital element</w:t>
      </w:r>
      <w:r w:rsidR="00124E57">
        <w:rPr>
          <w:sz w:val="22"/>
          <w:szCs w:val="22"/>
        </w:rPr>
        <w:t>.  If these proposal</w:t>
      </w:r>
      <w:r w:rsidR="00A9383F">
        <w:rPr>
          <w:sz w:val="22"/>
          <w:szCs w:val="22"/>
        </w:rPr>
        <w:t>s</w:t>
      </w:r>
      <w:r w:rsidR="00124E57">
        <w:rPr>
          <w:sz w:val="22"/>
          <w:szCs w:val="22"/>
        </w:rPr>
        <w:t xml:space="preserve"> move to </w:t>
      </w:r>
      <w:r w:rsidR="00A9383F">
        <w:rPr>
          <w:sz w:val="22"/>
          <w:szCs w:val="22"/>
        </w:rPr>
        <w:t xml:space="preserve">the </w:t>
      </w:r>
      <w:r w:rsidR="00124E57">
        <w:rPr>
          <w:sz w:val="22"/>
          <w:szCs w:val="22"/>
        </w:rPr>
        <w:t>contract stage</w:t>
      </w:r>
      <w:r w:rsidR="00A9383F">
        <w:rPr>
          <w:sz w:val="22"/>
          <w:szCs w:val="22"/>
        </w:rPr>
        <w:t xml:space="preserve">, </w:t>
      </w:r>
      <w:r w:rsidR="00124E57">
        <w:rPr>
          <w:sz w:val="22"/>
          <w:szCs w:val="22"/>
        </w:rPr>
        <w:t xml:space="preserve">we will complete the full allocation </w:t>
      </w:r>
      <w:r w:rsidR="00A9383F">
        <w:rPr>
          <w:sz w:val="22"/>
          <w:szCs w:val="22"/>
        </w:rPr>
        <w:t xml:space="preserve">of funding and targeted learners. </w:t>
      </w:r>
    </w:p>
    <w:p w14:paraId="33BE3FAD" w14:textId="77777777" w:rsidR="00A9383F" w:rsidRDefault="00A9383F" w:rsidP="0020079A">
      <w:pPr>
        <w:rPr>
          <w:sz w:val="22"/>
          <w:szCs w:val="22"/>
        </w:rPr>
      </w:pPr>
    </w:p>
    <w:p w14:paraId="6FB08977" w14:textId="23D923FE" w:rsidR="004E12B3" w:rsidRDefault="004172FF" w:rsidP="004E12B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C0170F">
        <w:rPr>
          <w:rFonts w:ascii="Calibri" w:hAnsi="Calibri" w:cs="Calibri"/>
          <w:b/>
          <w:bCs/>
          <w:sz w:val="22"/>
          <w:szCs w:val="22"/>
        </w:rPr>
        <w:t xml:space="preserve">Agenda Item </w:t>
      </w:r>
      <w:r w:rsidR="00D0585B">
        <w:rPr>
          <w:rFonts w:ascii="Calibri" w:hAnsi="Calibri" w:cs="Calibri"/>
          <w:b/>
          <w:bCs/>
          <w:sz w:val="22"/>
          <w:szCs w:val="22"/>
        </w:rPr>
        <w:t>6</w:t>
      </w:r>
      <w:r w:rsidR="001D1C2E" w:rsidRPr="00C017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267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3670">
        <w:rPr>
          <w:rFonts w:asciiTheme="minorHAnsi" w:hAnsiTheme="minorHAnsi" w:cstheme="minorHAnsi"/>
          <w:b/>
          <w:bCs/>
          <w:sz w:val="22"/>
          <w:szCs w:val="22"/>
        </w:rPr>
        <w:t>Progress against delivery plan 2022-23</w:t>
      </w:r>
    </w:p>
    <w:p w14:paraId="0A89FFDE" w14:textId="0A4C6A91" w:rsidR="00FF5354" w:rsidRDefault="0086503C" w:rsidP="004E12B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50DBD">
        <w:rPr>
          <w:rFonts w:asciiTheme="minorHAnsi" w:hAnsiTheme="minorHAnsi" w:cstheme="minorHAnsi"/>
          <w:sz w:val="22"/>
          <w:szCs w:val="22"/>
        </w:rPr>
        <w:t xml:space="preserve">6.1 IB </w:t>
      </w:r>
      <w:r w:rsidR="00D42C97">
        <w:rPr>
          <w:rFonts w:asciiTheme="minorHAnsi" w:hAnsiTheme="minorHAnsi" w:cstheme="minorHAnsi"/>
          <w:sz w:val="22"/>
          <w:szCs w:val="22"/>
        </w:rPr>
        <w:t>explained that this item</w:t>
      </w:r>
      <w:r w:rsidR="00FC581F">
        <w:rPr>
          <w:rFonts w:asciiTheme="minorHAnsi" w:hAnsiTheme="minorHAnsi" w:cstheme="minorHAnsi"/>
          <w:sz w:val="22"/>
          <w:szCs w:val="22"/>
        </w:rPr>
        <w:t>, at the half year point,</w:t>
      </w:r>
      <w:r w:rsidR="00D42C97">
        <w:rPr>
          <w:rFonts w:asciiTheme="minorHAnsi" w:hAnsiTheme="minorHAnsi" w:cstheme="minorHAnsi"/>
          <w:sz w:val="22"/>
          <w:szCs w:val="22"/>
        </w:rPr>
        <w:t xml:space="preserve"> was to take stock of our progress towards </w:t>
      </w:r>
      <w:r w:rsidR="00FC581F">
        <w:rPr>
          <w:rFonts w:asciiTheme="minorHAnsi" w:hAnsiTheme="minorHAnsi" w:cstheme="minorHAnsi"/>
          <w:sz w:val="22"/>
          <w:szCs w:val="22"/>
        </w:rPr>
        <w:t xml:space="preserve">achieving the objectives set out in the 2022-23 delivery plan, </w:t>
      </w:r>
      <w:r w:rsidR="000901C8">
        <w:rPr>
          <w:rFonts w:asciiTheme="minorHAnsi" w:hAnsiTheme="minorHAnsi" w:cstheme="minorHAnsi"/>
          <w:sz w:val="22"/>
          <w:szCs w:val="22"/>
        </w:rPr>
        <w:t>to identify</w:t>
      </w:r>
      <w:r w:rsidR="00577E17">
        <w:rPr>
          <w:rFonts w:asciiTheme="minorHAnsi" w:hAnsiTheme="minorHAnsi" w:cstheme="minorHAnsi"/>
          <w:sz w:val="22"/>
          <w:szCs w:val="22"/>
        </w:rPr>
        <w:t xml:space="preserve"> work started, delayed completed, or stopped in favour of new priorities. </w:t>
      </w:r>
      <w:r w:rsidR="00531BC8">
        <w:rPr>
          <w:rFonts w:asciiTheme="minorHAnsi" w:hAnsiTheme="minorHAnsi" w:cstheme="minorHAnsi"/>
          <w:sz w:val="22"/>
          <w:szCs w:val="22"/>
        </w:rPr>
        <w:t xml:space="preserve"> P&amp;I is also taking an interest in monitoring </w:t>
      </w:r>
      <w:r w:rsidR="00900385">
        <w:rPr>
          <w:rFonts w:asciiTheme="minorHAnsi" w:hAnsiTheme="minorHAnsi" w:cstheme="minorHAnsi"/>
          <w:sz w:val="22"/>
          <w:szCs w:val="22"/>
        </w:rPr>
        <w:t>performance.</w:t>
      </w:r>
    </w:p>
    <w:p w14:paraId="05F591F4" w14:textId="7D450F15" w:rsidR="00F16C2B" w:rsidRPr="00850DBD" w:rsidRDefault="000878E4" w:rsidP="004E12B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6.2 </w:t>
      </w:r>
      <w:r w:rsidR="00346E55">
        <w:rPr>
          <w:rFonts w:asciiTheme="minorHAnsi" w:hAnsiTheme="minorHAnsi" w:cstheme="minorHAnsi"/>
          <w:sz w:val="22"/>
          <w:szCs w:val="22"/>
        </w:rPr>
        <w:t xml:space="preserve">The plan has three key objectives, supported by </w:t>
      </w:r>
      <w:r w:rsidR="009741AD">
        <w:rPr>
          <w:rFonts w:asciiTheme="minorHAnsi" w:hAnsiTheme="minorHAnsi" w:cstheme="minorHAnsi"/>
          <w:sz w:val="22"/>
          <w:szCs w:val="22"/>
        </w:rPr>
        <w:t xml:space="preserve">seven actions.  </w:t>
      </w:r>
      <w:r w:rsidR="006A2FAC">
        <w:rPr>
          <w:rFonts w:asciiTheme="minorHAnsi" w:hAnsiTheme="minorHAnsi" w:cstheme="minorHAnsi"/>
          <w:sz w:val="22"/>
          <w:szCs w:val="22"/>
        </w:rPr>
        <w:t>A</w:t>
      </w:r>
      <w:r w:rsidR="009741AD">
        <w:rPr>
          <w:rFonts w:asciiTheme="minorHAnsi" w:hAnsiTheme="minorHAnsi" w:cstheme="minorHAnsi"/>
          <w:sz w:val="22"/>
          <w:szCs w:val="22"/>
        </w:rPr>
        <w:t xml:space="preserve"> half year pro</w:t>
      </w:r>
      <w:r w:rsidR="002D3EB4">
        <w:rPr>
          <w:rFonts w:asciiTheme="minorHAnsi" w:hAnsiTheme="minorHAnsi" w:cstheme="minorHAnsi"/>
          <w:sz w:val="22"/>
          <w:szCs w:val="22"/>
        </w:rPr>
        <w:t>gress</w:t>
      </w:r>
      <w:r w:rsidR="006A2FAC">
        <w:rPr>
          <w:rFonts w:asciiTheme="minorHAnsi" w:hAnsiTheme="minorHAnsi" w:cstheme="minorHAnsi"/>
          <w:sz w:val="22"/>
          <w:szCs w:val="22"/>
        </w:rPr>
        <w:t xml:space="preserve"> report </w:t>
      </w:r>
      <w:r w:rsidR="00547B5F">
        <w:rPr>
          <w:rFonts w:asciiTheme="minorHAnsi" w:hAnsiTheme="minorHAnsi" w:cstheme="minorHAnsi"/>
          <w:sz w:val="22"/>
          <w:szCs w:val="22"/>
        </w:rPr>
        <w:t xml:space="preserve">in Appendix A has been composed from the discussion. </w:t>
      </w:r>
      <w:r w:rsidR="00F16C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A7A686" w14:textId="7CFFE98D" w:rsidR="00854B03" w:rsidRPr="008267DB" w:rsidRDefault="00643533" w:rsidP="00854B03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4172FF">
        <w:rPr>
          <w:rFonts w:ascii="Calibri" w:hAnsi="Calibri" w:cs="Calibri"/>
          <w:b/>
          <w:bCs/>
          <w:sz w:val="22"/>
          <w:szCs w:val="22"/>
        </w:rPr>
        <w:t xml:space="preserve">Agenda Item </w:t>
      </w:r>
      <w:r w:rsidR="008267DB">
        <w:rPr>
          <w:rFonts w:ascii="Calibri" w:hAnsi="Calibri" w:cs="Calibri"/>
          <w:b/>
          <w:bCs/>
          <w:sz w:val="22"/>
          <w:szCs w:val="22"/>
        </w:rPr>
        <w:t>7</w:t>
      </w:r>
      <w:r w:rsidRPr="004172F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4473E">
        <w:rPr>
          <w:rFonts w:ascii="Calibri" w:hAnsi="Calibri" w:cs="Calibri"/>
          <w:b/>
          <w:bCs/>
          <w:sz w:val="22"/>
          <w:szCs w:val="22"/>
        </w:rPr>
        <w:t xml:space="preserve">Consultants’ Brief </w:t>
      </w:r>
      <w:r w:rsidR="005C2BCB">
        <w:rPr>
          <w:rFonts w:ascii="Calibri" w:hAnsi="Calibri" w:cs="Calibri"/>
          <w:b/>
          <w:bCs/>
          <w:sz w:val="22"/>
          <w:szCs w:val="22"/>
        </w:rPr>
        <w:t>– “Understanding the barriers to connectivity”.</w:t>
      </w:r>
    </w:p>
    <w:p w14:paraId="2328B56A" w14:textId="7BE56A18" w:rsidR="00745B97" w:rsidRDefault="00BA75A9" w:rsidP="00854B0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854B03" w:rsidRPr="001D1C2E">
        <w:rPr>
          <w:rFonts w:ascii="Calibri" w:hAnsi="Calibri" w:cs="Calibri"/>
          <w:sz w:val="22"/>
          <w:szCs w:val="22"/>
        </w:rPr>
        <w:t xml:space="preserve">.1 </w:t>
      </w:r>
      <w:r w:rsidR="00547B5F">
        <w:rPr>
          <w:rFonts w:ascii="Calibri" w:hAnsi="Calibri" w:cs="Calibri"/>
          <w:sz w:val="22"/>
          <w:szCs w:val="22"/>
        </w:rPr>
        <w:t xml:space="preserve">IB presented an early working draft for a consultants’ brief </w:t>
      </w:r>
      <w:r w:rsidR="00181B1E">
        <w:rPr>
          <w:rFonts w:ascii="Calibri" w:hAnsi="Calibri" w:cs="Calibri"/>
          <w:sz w:val="22"/>
          <w:szCs w:val="22"/>
        </w:rPr>
        <w:t>to seek support towards achieving a better understanding of the barriers to connectivity</w:t>
      </w:r>
      <w:r w:rsidR="004C1D73">
        <w:rPr>
          <w:rFonts w:ascii="Calibri" w:hAnsi="Calibri" w:cs="Calibri"/>
          <w:sz w:val="22"/>
          <w:szCs w:val="22"/>
        </w:rPr>
        <w:t>, which might include issues of infr</w:t>
      </w:r>
      <w:r w:rsidR="00A12835">
        <w:rPr>
          <w:rFonts w:ascii="Calibri" w:hAnsi="Calibri" w:cs="Calibri"/>
          <w:sz w:val="22"/>
          <w:szCs w:val="22"/>
        </w:rPr>
        <w:t xml:space="preserve">astructure, skills and capability, motivation and affordability.  </w:t>
      </w:r>
      <w:r w:rsidR="0089659B">
        <w:rPr>
          <w:rFonts w:ascii="Calibri" w:hAnsi="Calibri" w:cs="Calibri"/>
          <w:sz w:val="22"/>
          <w:szCs w:val="22"/>
        </w:rPr>
        <w:t xml:space="preserve">IB explained this </w:t>
      </w:r>
      <w:r w:rsidR="009B33CE">
        <w:rPr>
          <w:rFonts w:ascii="Calibri" w:hAnsi="Calibri" w:cs="Calibri"/>
          <w:sz w:val="22"/>
          <w:szCs w:val="22"/>
        </w:rPr>
        <w:t>study</w:t>
      </w:r>
      <w:r w:rsidR="0089659B">
        <w:rPr>
          <w:rFonts w:ascii="Calibri" w:hAnsi="Calibri" w:cs="Calibri"/>
          <w:sz w:val="22"/>
          <w:szCs w:val="22"/>
        </w:rPr>
        <w:t xml:space="preserve"> would build on and complement </w:t>
      </w:r>
      <w:r w:rsidR="00096585">
        <w:rPr>
          <w:rFonts w:ascii="Calibri" w:hAnsi="Calibri" w:cs="Calibri"/>
          <w:sz w:val="22"/>
          <w:szCs w:val="22"/>
        </w:rPr>
        <w:t xml:space="preserve">work already undertaken, e.g. the Digital Skills Report and a survey being carried out by the Pledge. </w:t>
      </w:r>
    </w:p>
    <w:p w14:paraId="55094D4F" w14:textId="085FDD9A" w:rsidR="00CB1D53" w:rsidRDefault="00CB1D53" w:rsidP="00854B0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7.2 </w:t>
      </w:r>
      <w:r w:rsidR="00617B67">
        <w:rPr>
          <w:rFonts w:ascii="Calibri" w:hAnsi="Calibri" w:cs="Calibri"/>
          <w:sz w:val="22"/>
          <w:szCs w:val="22"/>
        </w:rPr>
        <w:t xml:space="preserve">Feedback from members </w:t>
      </w:r>
      <w:r w:rsidR="00F971ED">
        <w:rPr>
          <w:rFonts w:ascii="Calibri" w:hAnsi="Calibri" w:cs="Calibri"/>
          <w:sz w:val="22"/>
          <w:szCs w:val="22"/>
        </w:rPr>
        <w:t>w</w:t>
      </w:r>
      <w:r w:rsidR="00F559CB">
        <w:rPr>
          <w:rFonts w:ascii="Calibri" w:hAnsi="Calibri" w:cs="Calibri"/>
          <w:sz w:val="22"/>
          <w:szCs w:val="22"/>
        </w:rPr>
        <w:t>as</w:t>
      </w:r>
      <w:r w:rsidR="00F971ED">
        <w:rPr>
          <w:rFonts w:ascii="Calibri" w:hAnsi="Calibri" w:cs="Calibri"/>
          <w:sz w:val="22"/>
          <w:szCs w:val="22"/>
        </w:rPr>
        <w:t xml:space="preserve"> </w:t>
      </w:r>
      <w:r w:rsidR="00F559CB">
        <w:rPr>
          <w:rFonts w:ascii="Calibri" w:hAnsi="Calibri" w:cs="Calibri"/>
          <w:sz w:val="22"/>
          <w:szCs w:val="22"/>
        </w:rPr>
        <w:t xml:space="preserve">that while the detail of requirements was clear, </w:t>
      </w:r>
      <w:r w:rsidR="00752DEB">
        <w:rPr>
          <w:rFonts w:ascii="Calibri" w:hAnsi="Calibri" w:cs="Calibri"/>
          <w:sz w:val="22"/>
          <w:szCs w:val="22"/>
        </w:rPr>
        <w:t xml:space="preserve">further work was needed </w:t>
      </w:r>
      <w:r w:rsidR="00F971ED">
        <w:rPr>
          <w:rFonts w:ascii="Calibri" w:hAnsi="Calibri" w:cs="Calibri"/>
          <w:sz w:val="22"/>
          <w:szCs w:val="22"/>
        </w:rPr>
        <w:t xml:space="preserve">to ensure greater specificity of outputs </w:t>
      </w:r>
      <w:r w:rsidR="00CD2EA0">
        <w:rPr>
          <w:rFonts w:ascii="Calibri" w:hAnsi="Calibri" w:cs="Calibri"/>
          <w:sz w:val="22"/>
          <w:szCs w:val="22"/>
        </w:rPr>
        <w:t>and deliverables.</w:t>
      </w:r>
      <w:r w:rsidR="00752DEB">
        <w:rPr>
          <w:rFonts w:ascii="Calibri" w:hAnsi="Calibri" w:cs="Calibri"/>
          <w:sz w:val="22"/>
          <w:szCs w:val="22"/>
        </w:rPr>
        <w:t xml:space="preserve"> </w:t>
      </w:r>
      <w:r w:rsidR="00F971ED">
        <w:rPr>
          <w:rFonts w:ascii="Calibri" w:hAnsi="Calibri" w:cs="Calibri"/>
          <w:sz w:val="22"/>
          <w:szCs w:val="22"/>
        </w:rPr>
        <w:t xml:space="preserve"> </w:t>
      </w:r>
      <w:r w:rsidR="009B33CE">
        <w:rPr>
          <w:rFonts w:ascii="Calibri" w:hAnsi="Calibri" w:cs="Calibri"/>
          <w:sz w:val="22"/>
          <w:szCs w:val="22"/>
        </w:rPr>
        <w:t xml:space="preserve">It is </w:t>
      </w:r>
      <w:r w:rsidR="00CD2EA0">
        <w:rPr>
          <w:rFonts w:ascii="Calibri" w:hAnsi="Calibri" w:cs="Calibri"/>
          <w:sz w:val="22"/>
          <w:szCs w:val="22"/>
        </w:rPr>
        <w:t xml:space="preserve">also </w:t>
      </w:r>
      <w:r w:rsidR="009B33CE">
        <w:rPr>
          <w:rFonts w:ascii="Calibri" w:hAnsi="Calibri" w:cs="Calibri"/>
          <w:sz w:val="22"/>
          <w:szCs w:val="22"/>
        </w:rPr>
        <w:t>important t</w:t>
      </w:r>
      <w:r w:rsidR="009C4E9E">
        <w:rPr>
          <w:rFonts w:ascii="Calibri" w:hAnsi="Calibri" w:cs="Calibri"/>
          <w:sz w:val="22"/>
          <w:szCs w:val="22"/>
        </w:rPr>
        <w:t xml:space="preserve">o reach beyond analysis of the current situation and address </w:t>
      </w:r>
      <w:r w:rsidR="004D5737">
        <w:rPr>
          <w:rFonts w:ascii="Calibri" w:hAnsi="Calibri" w:cs="Calibri"/>
          <w:sz w:val="22"/>
          <w:szCs w:val="22"/>
        </w:rPr>
        <w:t xml:space="preserve">questions of, So What? </w:t>
      </w:r>
    </w:p>
    <w:p w14:paraId="0E3EFA5E" w14:textId="58DDA52A" w:rsidR="00F61A26" w:rsidRDefault="00F61A26" w:rsidP="00854B0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7.3 IB will work up </w:t>
      </w:r>
      <w:r w:rsidR="00E13059">
        <w:rPr>
          <w:rFonts w:ascii="Calibri" w:hAnsi="Calibri" w:cs="Calibri"/>
          <w:sz w:val="22"/>
          <w:szCs w:val="22"/>
        </w:rPr>
        <w:t xml:space="preserve">the specification and seek to launch the tender before the next DCB. </w:t>
      </w:r>
    </w:p>
    <w:p w14:paraId="4DF87C21" w14:textId="06F20DA8" w:rsidR="00E13059" w:rsidRDefault="00E13059" w:rsidP="00E13059">
      <w:pPr>
        <w:pStyle w:val="NormalWeb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ACTION: IB</w:t>
      </w:r>
    </w:p>
    <w:p w14:paraId="63046D2C" w14:textId="412D816E" w:rsidR="00854B03" w:rsidRDefault="00854B03" w:rsidP="00854B03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4172FF">
        <w:rPr>
          <w:rFonts w:ascii="Calibri" w:hAnsi="Calibri" w:cs="Calibri"/>
          <w:b/>
          <w:bCs/>
          <w:sz w:val="22"/>
          <w:szCs w:val="22"/>
        </w:rPr>
        <w:t xml:space="preserve">Agenda Item </w:t>
      </w:r>
      <w:r w:rsidR="001846C0">
        <w:rPr>
          <w:rFonts w:ascii="Calibri" w:hAnsi="Calibri" w:cs="Calibri"/>
          <w:b/>
          <w:bCs/>
          <w:sz w:val="22"/>
          <w:szCs w:val="22"/>
        </w:rPr>
        <w:t>8</w:t>
      </w:r>
      <w:r w:rsidRPr="004172F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1846C0">
        <w:rPr>
          <w:rFonts w:ascii="Calibri" w:hAnsi="Calibri" w:cs="Calibri"/>
          <w:b/>
          <w:bCs/>
          <w:sz w:val="22"/>
          <w:szCs w:val="22"/>
        </w:rPr>
        <w:t>Any Other Business</w:t>
      </w:r>
    </w:p>
    <w:p w14:paraId="2744CED1" w14:textId="7F8B940F" w:rsidR="00FF3F51" w:rsidRPr="00FF3F51" w:rsidRDefault="00FF3F51" w:rsidP="00854B03">
      <w:pPr>
        <w:pStyle w:val="NormalWeb"/>
        <w:rPr>
          <w:rFonts w:ascii="Calibri" w:hAnsi="Calibri" w:cs="Calibri"/>
          <w:sz w:val="22"/>
          <w:szCs w:val="22"/>
        </w:rPr>
      </w:pPr>
      <w:r w:rsidRPr="00FF3F51">
        <w:rPr>
          <w:rFonts w:ascii="Calibri" w:hAnsi="Calibri" w:cs="Calibri"/>
          <w:sz w:val="22"/>
          <w:szCs w:val="22"/>
        </w:rPr>
        <w:t xml:space="preserve">8.1 No items </w:t>
      </w:r>
    </w:p>
    <w:p w14:paraId="64125422" w14:textId="25425AC3" w:rsidR="001D1C2E" w:rsidRPr="001D1C2E" w:rsidRDefault="001D1C2E" w:rsidP="004172FF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D1C2E">
        <w:rPr>
          <w:rFonts w:ascii="Calibri" w:hAnsi="Calibri" w:cs="Calibri"/>
          <w:b/>
          <w:bCs/>
          <w:sz w:val="22"/>
          <w:szCs w:val="22"/>
        </w:rPr>
        <w:t>Date and Time of next meetings</w:t>
      </w:r>
    </w:p>
    <w:p w14:paraId="4E371DDA" w14:textId="17193561" w:rsidR="004172FF" w:rsidRDefault="00EE27B3" w:rsidP="00EC461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Tuesday, Octo</w:t>
      </w:r>
      <w:r w:rsidR="00FF3F51">
        <w:rPr>
          <w:rFonts w:ascii="Calibri" w:hAnsi="Calibri" w:cs="Calibri"/>
          <w:sz w:val="22"/>
          <w:szCs w:val="22"/>
        </w:rPr>
        <w:t>ber 2</w:t>
      </w:r>
      <w:r w:rsidR="00775D5D">
        <w:rPr>
          <w:rFonts w:ascii="Calibri" w:hAnsi="Calibri" w:cs="Calibri"/>
          <w:sz w:val="22"/>
          <w:szCs w:val="22"/>
        </w:rPr>
        <w:t>5</w:t>
      </w:r>
      <w:r w:rsidR="00FF3F51" w:rsidRPr="00FF3F51">
        <w:rPr>
          <w:rFonts w:ascii="Calibri" w:hAnsi="Calibri" w:cs="Calibri"/>
          <w:sz w:val="22"/>
          <w:szCs w:val="22"/>
          <w:vertAlign w:val="superscript"/>
        </w:rPr>
        <w:t>th</w:t>
      </w:r>
      <w:r w:rsidR="00FF3F51">
        <w:rPr>
          <w:rFonts w:ascii="Calibri" w:hAnsi="Calibri" w:cs="Calibri"/>
          <w:sz w:val="22"/>
          <w:szCs w:val="22"/>
        </w:rPr>
        <w:t xml:space="preserve"> </w:t>
      </w:r>
      <w:r w:rsidR="001D1C2E">
        <w:rPr>
          <w:rFonts w:ascii="Calibri" w:hAnsi="Calibri" w:cs="Calibri"/>
          <w:sz w:val="22"/>
          <w:szCs w:val="22"/>
        </w:rPr>
        <w:t>2022, 4.30pm-6.00pm</w:t>
      </w:r>
      <w:r w:rsidR="00775D5D">
        <w:rPr>
          <w:rFonts w:ascii="Calibri" w:hAnsi="Calibri" w:cs="Calibri"/>
          <w:sz w:val="22"/>
          <w:szCs w:val="22"/>
        </w:rPr>
        <w:t>.</w:t>
      </w:r>
    </w:p>
    <w:p w14:paraId="79A8FC61" w14:textId="77777777" w:rsidR="002C665D" w:rsidRDefault="002C665D" w:rsidP="00EC4618">
      <w:pPr>
        <w:pStyle w:val="NormalWeb"/>
        <w:sectPr w:rsidR="002C66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310C12" w14:textId="206206A8" w:rsidR="002C665D" w:rsidRDefault="0065263F" w:rsidP="00EC4618">
      <w:pPr>
        <w:pStyle w:val="NormalWeb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Appendix A: </w:t>
      </w:r>
      <w:r w:rsidR="00004801" w:rsidRPr="00004801">
        <w:rPr>
          <w:rFonts w:asciiTheme="minorHAnsi" w:hAnsiTheme="minorHAnsi" w:cstheme="minorHAnsi"/>
          <w:b/>
          <w:bCs/>
          <w:u w:val="single"/>
        </w:rPr>
        <w:t>Progress Against Delivery Plan</w:t>
      </w:r>
      <w:r w:rsidR="001F6790">
        <w:rPr>
          <w:rFonts w:asciiTheme="minorHAnsi" w:hAnsiTheme="minorHAnsi" w:cstheme="minorHAnsi"/>
          <w:b/>
          <w:bCs/>
          <w:u w:val="single"/>
        </w:rPr>
        <w:t xml:space="preserve"> (September 2022)</w:t>
      </w:r>
    </w:p>
    <w:tbl>
      <w:tblPr>
        <w:tblStyle w:val="TableGrid"/>
        <w:tblW w:w="0" w:type="auto"/>
        <w:tblLook w:val="02A0" w:firstRow="1" w:lastRow="0" w:firstColumn="1" w:lastColumn="0" w:noHBand="1" w:noVBand="0"/>
      </w:tblPr>
      <w:tblGrid>
        <w:gridCol w:w="562"/>
        <w:gridCol w:w="5599"/>
        <w:gridCol w:w="1391"/>
        <w:gridCol w:w="1544"/>
        <w:gridCol w:w="4852"/>
      </w:tblGrid>
      <w:tr w:rsidR="00283057" w14:paraId="54312010" w14:textId="77777777" w:rsidTr="00CE4382">
        <w:tc>
          <w:tcPr>
            <w:tcW w:w="7552" w:type="dxa"/>
            <w:gridSpan w:val="3"/>
          </w:tcPr>
          <w:p w14:paraId="7A971B97" w14:textId="5256B36E" w:rsidR="00283057" w:rsidRDefault="00283057" w:rsidP="00127D91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Cementing and establishing partnership networks within the sub-region and neighbouring regions</w:t>
            </w:r>
          </w:p>
        </w:tc>
        <w:tc>
          <w:tcPr>
            <w:tcW w:w="1544" w:type="dxa"/>
          </w:tcPr>
          <w:p w14:paraId="120A6B7E" w14:textId="30555682" w:rsidR="00283057" w:rsidRDefault="00654D31" w:rsidP="00654D3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Status (30/9/2022)</w:t>
            </w:r>
          </w:p>
        </w:tc>
        <w:tc>
          <w:tcPr>
            <w:tcW w:w="4852" w:type="dxa"/>
          </w:tcPr>
          <w:p w14:paraId="34CA6929" w14:textId="6424B9CD" w:rsidR="00283057" w:rsidRDefault="00654D3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Comments</w:t>
            </w:r>
          </w:p>
        </w:tc>
      </w:tr>
      <w:tr w:rsidR="00004801" w14:paraId="11A1F365" w14:textId="77777777" w:rsidTr="00CE4382">
        <w:tc>
          <w:tcPr>
            <w:tcW w:w="562" w:type="dxa"/>
          </w:tcPr>
          <w:p w14:paraId="7BA7DB4D" w14:textId="77777777" w:rsidR="00004801" w:rsidRDefault="0000480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719522D7" w14:textId="399A876D" w:rsidR="00004801" w:rsidRPr="00224A73" w:rsidRDefault="00283057" w:rsidP="00EC4618">
            <w:pPr>
              <w:pStyle w:val="NormalWeb"/>
              <w:rPr>
                <w:rFonts w:asciiTheme="minorHAnsi" w:hAnsiTheme="minorHAnsi" w:cstheme="minorHAnsi"/>
              </w:rPr>
            </w:pPr>
            <w:r w:rsidRPr="00224A73">
              <w:rPr>
                <w:rFonts w:asciiTheme="minorHAnsi" w:hAnsiTheme="minorHAnsi" w:cstheme="minorHAnsi"/>
              </w:rPr>
              <w:t xml:space="preserve">Define </w:t>
            </w:r>
            <w:r w:rsidR="00A76CF7" w:rsidRPr="00224A73">
              <w:rPr>
                <w:rFonts w:asciiTheme="minorHAnsi" w:hAnsiTheme="minorHAnsi" w:cstheme="minorHAnsi"/>
              </w:rPr>
              <w:t>a governance structure, alongside local authorities and Connecting Cheshire</w:t>
            </w:r>
            <w:r w:rsidR="00224A73" w:rsidRPr="00224A73">
              <w:rPr>
                <w:rFonts w:asciiTheme="minorHAnsi" w:hAnsiTheme="minorHAnsi" w:cstheme="minorHAnsi"/>
              </w:rPr>
              <w:t>, of digital across the sub-region</w:t>
            </w:r>
          </w:p>
        </w:tc>
        <w:tc>
          <w:tcPr>
            <w:tcW w:w="1391" w:type="dxa"/>
          </w:tcPr>
          <w:p w14:paraId="01667457" w14:textId="599A779E" w:rsidR="00004801" w:rsidRPr="004F4CB5" w:rsidRDefault="004F4CB5" w:rsidP="004F4CB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F4CB5">
              <w:rPr>
                <w:rFonts w:asciiTheme="minorHAnsi" w:hAnsiTheme="minorHAnsi" w:cstheme="minorHAnsi"/>
              </w:rPr>
              <w:t>Q1</w:t>
            </w:r>
          </w:p>
        </w:tc>
        <w:tc>
          <w:tcPr>
            <w:tcW w:w="1544" w:type="dxa"/>
          </w:tcPr>
          <w:p w14:paraId="5289E62D" w14:textId="72A174D8" w:rsidR="00004801" w:rsidRPr="00B50992" w:rsidRDefault="00B50992" w:rsidP="00B5099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B5099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852" w:type="dxa"/>
          </w:tcPr>
          <w:p w14:paraId="0F502B83" w14:textId="15836EED" w:rsidR="00004801" w:rsidRPr="004E7A68" w:rsidRDefault="004E7A68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Closer working between the DCB, Conne</w:t>
            </w:r>
            <w:r w:rsidR="00D13E59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ting Cheshire and Local Authorities </w:t>
            </w:r>
            <w:r w:rsidR="00D13E59">
              <w:rPr>
                <w:rFonts w:asciiTheme="minorHAnsi" w:hAnsiTheme="minorHAnsi" w:cstheme="minorHAnsi"/>
              </w:rPr>
              <w:t xml:space="preserve">has progressed. </w:t>
            </w:r>
            <w:r w:rsidR="00B936AF">
              <w:rPr>
                <w:rFonts w:asciiTheme="minorHAnsi" w:hAnsiTheme="minorHAnsi" w:cstheme="minorHAnsi"/>
              </w:rPr>
              <w:t xml:space="preserve"> Deliberations connected to the LEP Review have postponed bringing proposals forward until the more general </w:t>
            </w:r>
            <w:r w:rsidR="0014406D">
              <w:rPr>
                <w:rFonts w:asciiTheme="minorHAnsi" w:hAnsiTheme="minorHAnsi" w:cstheme="minorHAnsi"/>
              </w:rPr>
              <w:t xml:space="preserve">positioning of the LEP is understood. </w:t>
            </w:r>
          </w:p>
        </w:tc>
      </w:tr>
      <w:tr w:rsidR="00004801" w14:paraId="000BEC85" w14:textId="77777777" w:rsidTr="00CE4382">
        <w:tc>
          <w:tcPr>
            <w:tcW w:w="562" w:type="dxa"/>
          </w:tcPr>
          <w:p w14:paraId="0D032304" w14:textId="77777777" w:rsidR="00004801" w:rsidRDefault="0000480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4C630235" w14:textId="08FDB2E5" w:rsidR="00004801" w:rsidRPr="00B50992" w:rsidRDefault="00B50992" w:rsidP="00EC4618">
            <w:pPr>
              <w:pStyle w:val="NormalWeb"/>
              <w:rPr>
                <w:rFonts w:asciiTheme="minorHAnsi" w:hAnsiTheme="minorHAnsi" w:cstheme="minorHAnsi"/>
              </w:rPr>
            </w:pPr>
            <w:r w:rsidRPr="00B50992">
              <w:rPr>
                <w:rFonts w:asciiTheme="minorHAnsi" w:hAnsiTheme="minorHAnsi" w:cstheme="minorHAnsi"/>
              </w:rPr>
              <w:t>Establish new Governance Structure</w:t>
            </w:r>
          </w:p>
        </w:tc>
        <w:tc>
          <w:tcPr>
            <w:tcW w:w="1391" w:type="dxa"/>
          </w:tcPr>
          <w:p w14:paraId="0D58761C" w14:textId="1CE40506" w:rsidR="00004801" w:rsidRPr="00B50992" w:rsidRDefault="00B50992" w:rsidP="00B5099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B50992">
              <w:rPr>
                <w:rFonts w:asciiTheme="minorHAnsi" w:hAnsiTheme="minorHAnsi" w:cstheme="minorHAnsi"/>
              </w:rPr>
              <w:t>Q2</w:t>
            </w:r>
          </w:p>
        </w:tc>
        <w:tc>
          <w:tcPr>
            <w:tcW w:w="1544" w:type="dxa"/>
          </w:tcPr>
          <w:p w14:paraId="15B7D542" w14:textId="370C6F1E" w:rsidR="00004801" w:rsidRPr="00B50992" w:rsidRDefault="00B50992" w:rsidP="00B5099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B5099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852" w:type="dxa"/>
          </w:tcPr>
          <w:p w14:paraId="0EC3EB40" w14:textId="77777777" w:rsidR="00004801" w:rsidRDefault="00D13E59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DCB has discussed on two occasions and a paper will be presented to Growth Directors on 20/10/22. </w:t>
            </w:r>
          </w:p>
          <w:p w14:paraId="487D0A96" w14:textId="041F9341" w:rsidR="009F2439" w:rsidRPr="004E7A68" w:rsidRDefault="009F2439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Connections will then be made with GMCA, LCR and MDA</w:t>
            </w:r>
            <w:r w:rsidR="004920F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CE4382" w14:paraId="77EEEE35" w14:textId="77777777" w:rsidTr="00CE4382">
        <w:tc>
          <w:tcPr>
            <w:tcW w:w="7552" w:type="dxa"/>
            <w:gridSpan w:val="3"/>
          </w:tcPr>
          <w:p w14:paraId="02DD7657" w14:textId="2F5B10F1" w:rsidR="00CE4382" w:rsidRDefault="00CE4382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Identification and Alignment </w:t>
            </w:r>
            <w:r w:rsidR="003A046A">
              <w:rPr>
                <w:rFonts w:asciiTheme="minorHAnsi" w:hAnsiTheme="minorHAnsi" w:cstheme="minorHAnsi"/>
                <w:b/>
                <w:bCs/>
                <w:u w:val="single"/>
              </w:rPr>
              <w:t>of priorities: Rural connectivity plan, Business requirements</w:t>
            </w:r>
            <w:r w:rsidR="00D31EB5">
              <w:rPr>
                <w:rFonts w:asciiTheme="minorHAnsi" w:hAnsiTheme="minorHAnsi" w:cstheme="minorHAnsi"/>
                <w:b/>
                <w:bCs/>
                <w:u w:val="single"/>
              </w:rPr>
              <w:t>, Digital Infrastructure Plan review (data refresh)</w:t>
            </w:r>
          </w:p>
        </w:tc>
        <w:tc>
          <w:tcPr>
            <w:tcW w:w="1544" w:type="dxa"/>
          </w:tcPr>
          <w:p w14:paraId="05119038" w14:textId="77777777" w:rsidR="00CE4382" w:rsidRDefault="00CE4382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852" w:type="dxa"/>
          </w:tcPr>
          <w:p w14:paraId="0DD6790F" w14:textId="77777777" w:rsidR="00CE4382" w:rsidRPr="004E7A68" w:rsidRDefault="00CE4382" w:rsidP="00EC4618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04801" w14:paraId="1F23BEC4" w14:textId="77777777" w:rsidTr="00CE4382">
        <w:tc>
          <w:tcPr>
            <w:tcW w:w="562" w:type="dxa"/>
          </w:tcPr>
          <w:p w14:paraId="243559EF" w14:textId="77777777" w:rsidR="00004801" w:rsidRDefault="0000480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2DC7ECA2" w14:textId="6AD6CA47" w:rsidR="00004801" w:rsidRPr="004C4DC3" w:rsidRDefault="007313D2" w:rsidP="00EC4618">
            <w:pPr>
              <w:pStyle w:val="NormalWeb"/>
              <w:rPr>
                <w:rFonts w:asciiTheme="minorHAnsi" w:hAnsiTheme="minorHAnsi" w:cstheme="minorHAnsi"/>
              </w:rPr>
            </w:pPr>
            <w:r w:rsidRPr="004C4DC3">
              <w:rPr>
                <w:rFonts w:asciiTheme="minorHAnsi" w:hAnsiTheme="minorHAnsi" w:cstheme="minorHAnsi"/>
              </w:rPr>
              <w:t>Gap analysis assessment for digital connectivity in the sub region</w:t>
            </w:r>
          </w:p>
        </w:tc>
        <w:tc>
          <w:tcPr>
            <w:tcW w:w="1391" w:type="dxa"/>
          </w:tcPr>
          <w:p w14:paraId="69CDCF47" w14:textId="0E756E54" w:rsidR="00004801" w:rsidRDefault="0022723C" w:rsidP="0022723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50992">
              <w:rPr>
                <w:rFonts w:asciiTheme="minorHAnsi" w:hAnsiTheme="minorHAnsi" w:cstheme="minorHAnsi"/>
              </w:rPr>
              <w:t>Q2</w:t>
            </w:r>
          </w:p>
        </w:tc>
        <w:tc>
          <w:tcPr>
            <w:tcW w:w="1544" w:type="dxa"/>
          </w:tcPr>
          <w:p w14:paraId="1795BB20" w14:textId="19CDADF3" w:rsidR="00004801" w:rsidRPr="004C4DC3" w:rsidRDefault="004C4DC3" w:rsidP="004C4D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C4DC3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852" w:type="dxa"/>
          </w:tcPr>
          <w:p w14:paraId="6638766A" w14:textId="28430EC7" w:rsidR="00004801" w:rsidRPr="004E7A68" w:rsidRDefault="004920F9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DCB has discussed a consultants’ brief to </w:t>
            </w:r>
            <w:r w:rsidR="004B7713">
              <w:rPr>
                <w:rFonts w:asciiTheme="minorHAnsi" w:hAnsiTheme="minorHAnsi" w:cstheme="minorHAnsi"/>
              </w:rPr>
              <w:t xml:space="preserve">develop further our understanding of the </w:t>
            </w:r>
            <w:r w:rsidR="00685667">
              <w:rPr>
                <w:rFonts w:asciiTheme="minorHAnsi" w:hAnsiTheme="minorHAnsi" w:cstheme="minorHAnsi"/>
              </w:rPr>
              <w:t xml:space="preserve">barriers to digital uptake; infrastructure, skills, motivation, affordability. </w:t>
            </w:r>
            <w:r w:rsidR="00255B94">
              <w:rPr>
                <w:rFonts w:asciiTheme="minorHAnsi" w:hAnsiTheme="minorHAnsi" w:cstheme="minorHAnsi"/>
              </w:rPr>
              <w:t xml:space="preserve"> This will </w:t>
            </w:r>
            <w:r w:rsidR="003078D4">
              <w:rPr>
                <w:rFonts w:asciiTheme="minorHAnsi" w:hAnsiTheme="minorHAnsi" w:cstheme="minorHAnsi"/>
              </w:rPr>
              <w:t xml:space="preserve">build on the digital skills report and </w:t>
            </w:r>
            <w:r w:rsidR="002764D9">
              <w:rPr>
                <w:rFonts w:asciiTheme="minorHAnsi" w:hAnsiTheme="minorHAnsi" w:cstheme="minorHAnsi"/>
              </w:rPr>
              <w:t>surveys by the Pledge</w:t>
            </w:r>
            <w:r w:rsidR="0065263F">
              <w:rPr>
                <w:rFonts w:asciiTheme="minorHAnsi" w:hAnsiTheme="minorHAnsi" w:cstheme="minorHAnsi"/>
              </w:rPr>
              <w:t xml:space="preserve"> </w:t>
            </w:r>
            <w:r w:rsidR="002764D9">
              <w:rPr>
                <w:rFonts w:asciiTheme="minorHAnsi" w:hAnsiTheme="minorHAnsi" w:cstheme="minorHAnsi"/>
              </w:rPr>
              <w:t xml:space="preserve">and </w:t>
            </w:r>
            <w:r w:rsidR="00255B94">
              <w:rPr>
                <w:rFonts w:asciiTheme="minorHAnsi" w:hAnsiTheme="minorHAnsi" w:cstheme="minorHAnsi"/>
              </w:rPr>
              <w:t>be commissioned in Q3.</w:t>
            </w:r>
          </w:p>
        </w:tc>
      </w:tr>
      <w:tr w:rsidR="00004801" w14:paraId="69573600" w14:textId="77777777" w:rsidTr="00CE4382">
        <w:tc>
          <w:tcPr>
            <w:tcW w:w="562" w:type="dxa"/>
          </w:tcPr>
          <w:p w14:paraId="395A1B27" w14:textId="77777777" w:rsidR="00004801" w:rsidRDefault="0000480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50D0789D" w14:textId="375734C2" w:rsidR="00004801" w:rsidRPr="004C4DC3" w:rsidRDefault="005E68F9" w:rsidP="00EC4618">
            <w:pPr>
              <w:pStyle w:val="NormalWeb"/>
              <w:rPr>
                <w:rFonts w:asciiTheme="minorHAnsi" w:hAnsiTheme="minorHAnsi" w:cstheme="minorHAnsi"/>
              </w:rPr>
            </w:pPr>
            <w:r w:rsidRPr="004C4DC3">
              <w:rPr>
                <w:rFonts w:asciiTheme="minorHAnsi" w:hAnsiTheme="minorHAnsi" w:cstheme="minorHAnsi"/>
              </w:rPr>
              <w:t>Recommendation to the Strategy Programme Board for Growing Places Fun</w:t>
            </w:r>
            <w:r w:rsidR="0022723C" w:rsidRPr="004C4DC3">
              <w:rPr>
                <w:rFonts w:asciiTheme="minorHAnsi" w:hAnsiTheme="minorHAnsi" w:cstheme="minorHAnsi"/>
              </w:rPr>
              <w:t>d for priority business case areas to support</w:t>
            </w:r>
          </w:p>
        </w:tc>
        <w:tc>
          <w:tcPr>
            <w:tcW w:w="1391" w:type="dxa"/>
          </w:tcPr>
          <w:p w14:paraId="68B009E1" w14:textId="4642434F" w:rsidR="00004801" w:rsidRDefault="0022723C" w:rsidP="0022723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50992">
              <w:rPr>
                <w:rFonts w:asciiTheme="minorHAnsi" w:hAnsiTheme="minorHAnsi" w:cstheme="minorHAnsi"/>
              </w:rPr>
              <w:t>Q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4" w:type="dxa"/>
          </w:tcPr>
          <w:p w14:paraId="4477FDB1" w14:textId="029709B7" w:rsidR="00004801" w:rsidRPr="004C4DC3" w:rsidRDefault="004C4DC3" w:rsidP="004C4D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C4DC3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852" w:type="dxa"/>
          </w:tcPr>
          <w:p w14:paraId="6D3AEF9A" w14:textId="77777777" w:rsidR="00004801" w:rsidRDefault="00255B94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Connecting Cheshire is preparing an investment prospectus for </w:t>
            </w:r>
            <w:r w:rsidR="00E75B9D">
              <w:rPr>
                <w:rFonts w:asciiTheme="minorHAnsi" w:hAnsiTheme="minorHAnsi" w:cstheme="minorHAnsi"/>
              </w:rPr>
              <w:t xml:space="preserve">discussion by Growth directors on 20/10/22.  </w:t>
            </w:r>
          </w:p>
          <w:p w14:paraId="4A4C39EE" w14:textId="01DCAA20" w:rsidR="00E75B9D" w:rsidRPr="004E7A68" w:rsidRDefault="00E75B9D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DCB identified a </w:t>
            </w:r>
            <w:r w:rsidR="00470D9D">
              <w:rPr>
                <w:rFonts w:asciiTheme="minorHAnsi" w:hAnsiTheme="minorHAnsi" w:cstheme="minorHAnsi"/>
              </w:rPr>
              <w:t>potential pilot of satellite technology to reach remote areas</w:t>
            </w:r>
            <w:r w:rsidR="002A6E51">
              <w:rPr>
                <w:rFonts w:asciiTheme="minorHAnsi" w:hAnsiTheme="minorHAnsi" w:cstheme="minorHAnsi"/>
              </w:rPr>
              <w:t xml:space="preserve"> (as a </w:t>
            </w:r>
            <w:r w:rsidR="002A6E51">
              <w:rPr>
                <w:rFonts w:asciiTheme="minorHAnsi" w:hAnsiTheme="minorHAnsi" w:cstheme="minorHAnsi"/>
              </w:rPr>
              <w:lastRenderedPageBreak/>
              <w:t>possible viable alternative to fixed line).</w:t>
            </w:r>
            <w:r w:rsidR="00470D9D">
              <w:rPr>
                <w:rFonts w:asciiTheme="minorHAnsi" w:hAnsiTheme="minorHAnsi" w:cstheme="minorHAnsi"/>
              </w:rPr>
              <w:t xml:space="preserve"> </w:t>
            </w:r>
            <w:r w:rsidR="002A6E51">
              <w:rPr>
                <w:rFonts w:asciiTheme="minorHAnsi" w:hAnsiTheme="minorHAnsi" w:cstheme="minorHAnsi"/>
              </w:rPr>
              <w:t xml:space="preserve"> </w:t>
            </w:r>
            <w:r w:rsidR="00470D9D">
              <w:rPr>
                <w:rFonts w:asciiTheme="minorHAnsi" w:hAnsiTheme="minorHAnsi" w:cstheme="minorHAnsi"/>
              </w:rPr>
              <w:t>This needs working up into</w:t>
            </w:r>
            <w:r w:rsidR="00E16436">
              <w:rPr>
                <w:rFonts w:asciiTheme="minorHAnsi" w:hAnsiTheme="minorHAnsi" w:cstheme="minorHAnsi"/>
              </w:rPr>
              <w:t xml:space="preserve"> a possible site proposal, with buy-in from the pilot “community”</w:t>
            </w:r>
            <w:r w:rsidR="002A6E51">
              <w:rPr>
                <w:rFonts w:asciiTheme="minorHAnsi" w:hAnsiTheme="minorHAnsi" w:cstheme="minorHAnsi"/>
              </w:rPr>
              <w:t xml:space="preserve"> (residents and / or business).</w:t>
            </w:r>
          </w:p>
        </w:tc>
      </w:tr>
      <w:tr w:rsidR="00363715" w14:paraId="4D5629F8" w14:textId="77777777" w:rsidTr="006B5522">
        <w:tc>
          <w:tcPr>
            <w:tcW w:w="7552" w:type="dxa"/>
            <w:gridSpan w:val="3"/>
          </w:tcPr>
          <w:p w14:paraId="4EFEB92F" w14:textId="5CDE79D3" w:rsidR="00363715" w:rsidRDefault="00363715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Exploration of commercial models and funding streams</w:t>
            </w:r>
            <w:r w:rsidR="00740EF9">
              <w:rPr>
                <w:rFonts w:asciiTheme="minorHAnsi" w:hAnsiTheme="minorHAnsi" w:cstheme="minorHAnsi"/>
                <w:b/>
                <w:bCs/>
                <w:u w:val="single"/>
              </w:rPr>
              <w:t>: Opportunities and timescales of BDUK, pipeline of public sector “backbone” schemes</w:t>
            </w:r>
            <w:r w:rsidR="00F95646">
              <w:rPr>
                <w:rFonts w:asciiTheme="minorHAnsi" w:hAnsiTheme="minorHAnsi" w:cstheme="minorHAnsi"/>
                <w:b/>
                <w:bCs/>
                <w:u w:val="single"/>
              </w:rPr>
              <w:t>, identification of “Dig Once” opportunities and levelling up pitch</w:t>
            </w:r>
          </w:p>
        </w:tc>
        <w:tc>
          <w:tcPr>
            <w:tcW w:w="1544" w:type="dxa"/>
          </w:tcPr>
          <w:p w14:paraId="1D130D54" w14:textId="77777777" w:rsidR="00363715" w:rsidRDefault="00363715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852" w:type="dxa"/>
          </w:tcPr>
          <w:p w14:paraId="7EF30D67" w14:textId="77777777" w:rsidR="00363715" w:rsidRPr="004E7A68" w:rsidRDefault="00363715" w:rsidP="00EC4618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04801" w14:paraId="78B4F575" w14:textId="77777777" w:rsidTr="00CE4382">
        <w:tc>
          <w:tcPr>
            <w:tcW w:w="562" w:type="dxa"/>
          </w:tcPr>
          <w:p w14:paraId="7D94EB2D" w14:textId="77777777" w:rsidR="00004801" w:rsidRDefault="00004801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550F269E" w14:textId="5EE40E05" w:rsidR="0053434F" w:rsidRPr="00DB0685" w:rsidRDefault="00DB0685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Working with Local Authorities and Connecting Cheshire </w:t>
            </w:r>
            <w:r w:rsidR="0053434F">
              <w:rPr>
                <w:rFonts w:asciiTheme="minorHAnsi" w:hAnsiTheme="minorHAnsi" w:cstheme="minorHAnsi"/>
              </w:rPr>
              <w:t xml:space="preserve">to develop sub-regional options for Digital Connectivity improvements for levelling up. </w:t>
            </w:r>
          </w:p>
        </w:tc>
        <w:tc>
          <w:tcPr>
            <w:tcW w:w="1391" w:type="dxa"/>
          </w:tcPr>
          <w:p w14:paraId="41494C3F" w14:textId="2B0E115B" w:rsidR="00004801" w:rsidRPr="00DB0685" w:rsidRDefault="00067EB1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Q1</w:t>
            </w:r>
          </w:p>
        </w:tc>
        <w:tc>
          <w:tcPr>
            <w:tcW w:w="1544" w:type="dxa"/>
          </w:tcPr>
          <w:p w14:paraId="33FEE65A" w14:textId="5CE19AE9" w:rsidR="00004801" w:rsidRPr="00DB0685" w:rsidRDefault="00766A25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852" w:type="dxa"/>
          </w:tcPr>
          <w:p w14:paraId="54D7DFE3" w14:textId="62FAF55E" w:rsidR="00004801" w:rsidRPr="004E7A68" w:rsidRDefault="00BB6C5B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Gain share from the first con</w:t>
            </w:r>
            <w:r w:rsidR="0054153D">
              <w:rPr>
                <w:rFonts w:asciiTheme="minorHAnsi" w:hAnsiTheme="minorHAnsi" w:cstheme="minorHAnsi"/>
              </w:rPr>
              <w:t xml:space="preserve">tract </w:t>
            </w:r>
            <w:r w:rsidR="001A7718">
              <w:rPr>
                <w:rFonts w:asciiTheme="minorHAnsi" w:hAnsiTheme="minorHAnsi" w:cstheme="minorHAnsi"/>
              </w:rPr>
              <w:t xml:space="preserve">is being deployed.  </w:t>
            </w:r>
            <w:r w:rsidR="0024086A">
              <w:rPr>
                <w:rFonts w:asciiTheme="minorHAnsi" w:hAnsiTheme="minorHAnsi" w:cstheme="minorHAnsi"/>
              </w:rPr>
              <w:t>R</w:t>
            </w:r>
            <w:r w:rsidR="001A7718">
              <w:rPr>
                <w:rFonts w:asciiTheme="minorHAnsi" w:hAnsiTheme="minorHAnsi" w:cstheme="minorHAnsi"/>
              </w:rPr>
              <w:t xml:space="preserve">ecent contracts will offer </w:t>
            </w:r>
            <w:r w:rsidR="0024086A">
              <w:rPr>
                <w:rFonts w:asciiTheme="minorHAnsi" w:hAnsiTheme="minorHAnsi" w:cstheme="minorHAnsi"/>
              </w:rPr>
              <w:t xml:space="preserve">fewer </w:t>
            </w:r>
            <w:r w:rsidR="0015256C">
              <w:rPr>
                <w:rFonts w:asciiTheme="minorHAnsi" w:hAnsiTheme="minorHAnsi" w:cstheme="minorHAnsi"/>
              </w:rPr>
              <w:t xml:space="preserve">financial opportunities.  BDUK </w:t>
            </w:r>
            <w:r w:rsidR="00C87F00">
              <w:rPr>
                <w:rFonts w:asciiTheme="minorHAnsi" w:hAnsiTheme="minorHAnsi" w:cstheme="minorHAnsi"/>
              </w:rPr>
              <w:t xml:space="preserve">procurements are currently </w:t>
            </w:r>
            <w:r w:rsidR="006D1F73">
              <w:rPr>
                <w:rFonts w:asciiTheme="minorHAnsi" w:hAnsiTheme="minorHAnsi" w:cstheme="minorHAnsi"/>
              </w:rPr>
              <w:t>underway,</w:t>
            </w:r>
            <w:r w:rsidR="00C87F00">
              <w:rPr>
                <w:rFonts w:asciiTheme="minorHAnsi" w:hAnsiTheme="minorHAnsi" w:cstheme="minorHAnsi"/>
              </w:rPr>
              <w:t xml:space="preserve"> and we need to understand level of success and resultant gaps. </w:t>
            </w:r>
            <w:r w:rsidR="005A3DB7">
              <w:rPr>
                <w:rFonts w:asciiTheme="minorHAnsi" w:hAnsiTheme="minorHAnsi" w:cstheme="minorHAnsi"/>
              </w:rPr>
              <w:t xml:space="preserve"> Connecting Cheshire also provides support to businesses, generally with good success</w:t>
            </w:r>
            <w:r w:rsidR="006D1F73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F6790" w14:paraId="629630A1" w14:textId="77777777" w:rsidTr="00CE4382">
        <w:tc>
          <w:tcPr>
            <w:tcW w:w="562" w:type="dxa"/>
          </w:tcPr>
          <w:p w14:paraId="1DB9EF79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0124C968" w14:textId="49ED3B15" w:rsidR="001F6790" w:rsidRPr="00DB0685" w:rsidRDefault="0053434F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Gain further market support and facilitate engagement on the emerging levelling up proposal </w:t>
            </w:r>
            <w:r w:rsidR="00D12C71">
              <w:rPr>
                <w:rFonts w:asciiTheme="minorHAnsi" w:hAnsiTheme="minorHAnsi" w:cstheme="minorHAnsi"/>
              </w:rPr>
              <w:t>for the sub-region on digital connectivity</w:t>
            </w:r>
          </w:p>
        </w:tc>
        <w:tc>
          <w:tcPr>
            <w:tcW w:w="1391" w:type="dxa"/>
          </w:tcPr>
          <w:p w14:paraId="7B4F4317" w14:textId="3E4DDE41" w:rsidR="001F6790" w:rsidRPr="00DB0685" w:rsidRDefault="00067EB1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Q3</w:t>
            </w:r>
          </w:p>
        </w:tc>
        <w:tc>
          <w:tcPr>
            <w:tcW w:w="1544" w:type="dxa"/>
          </w:tcPr>
          <w:p w14:paraId="2ACDBEEC" w14:textId="4D096F61" w:rsidR="001F6790" w:rsidRPr="00DB0685" w:rsidRDefault="00766A25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started</w:t>
            </w:r>
          </w:p>
        </w:tc>
        <w:tc>
          <w:tcPr>
            <w:tcW w:w="4852" w:type="dxa"/>
          </w:tcPr>
          <w:p w14:paraId="3222229A" w14:textId="5F934448" w:rsidR="001F6790" w:rsidRPr="004E7A68" w:rsidRDefault="00A820D3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SPF </w:t>
            </w:r>
            <w:r w:rsidR="00672189">
              <w:rPr>
                <w:rFonts w:asciiTheme="minorHAnsi" w:hAnsiTheme="minorHAnsi" w:cstheme="minorHAnsi"/>
              </w:rPr>
              <w:t xml:space="preserve">applications from the 3 LAs included, at high level, some elements with digital outcomes.  Detailed projects still need to be finalised. </w:t>
            </w:r>
          </w:p>
        </w:tc>
      </w:tr>
      <w:tr w:rsidR="001F6790" w14:paraId="6A5C275D" w14:textId="77777777" w:rsidTr="00CE4382">
        <w:tc>
          <w:tcPr>
            <w:tcW w:w="562" w:type="dxa"/>
          </w:tcPr>
          <w:p w14:paraId="4E346B26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4BFF5EA8" w14:textId="3450D357" w:rsidR="001F6790" w:rsidRPr="00DB0685" w:rsidRDefault="00D12C71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Define pipeline proposal for “backbone” and “dig once” schemes</w:t>
            </w:r>
          </w:p>
        </w:tc>
        <w:tc>
          <w:tcPr>
            <w:tcW w:w="1391" w:type="dxa"/>
          </w:tcPr>
          <w:p w14:paraId="1EDF224F" w14:textId="55D7C78C" w:rsidR="001F6790" w:rsidRPr="00DB0685" w:rsidRDefault="00067EB1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Q4</w:t>
            </w:r>
          </w:p>
        </w:tc>
        <w:tc>
          <w:tcPr>
            <w:tcW w:w="1544" w:type="dxa"/>
          </w:tcPr>
          <w:p w14:paraId="7133EAEA" w14:textId="5147A3D3" w:rsidR="001F6790" w:rsidRPr="00DB0685" w:rsidRDefault="00766A25" w:rsidP="00766A25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started</w:t>
            </w:r>
          </w:p>
        </w:tc>
        <w:tc>
          <w:tcPr>
            <w:tcW w:w="4852" w:type="dxa"/>
          </w:tcPr>
          <w:p w14:paraId="6FC81861" w14:textId="4F0B29DE" w:rsidR="001F6790" w:rsidRPr="004E7A68" w:rsidRDefault="006A2FAC" w:rsidP="00EC461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See above. </w:t>
            </w:r>
          </w:p>
        </w:tc>
      </w:tr>
      <w:tr w:rsidR="001F6790" w14:paraId="66DA42F0" w14:textId="77777777" w:rsidTr="00CE4382">
        <w:tc>
          <w:tcPr>
            <w:tcW w:w="562" w:type="dxa"/>
          </w:tcPr>
          <w:p w14:paraId="2BFEC440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5599" w:type="dxa"/>
          </w:tcPr>
          <w:p w14:paraId="67BB8339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391" w:type="dxa"/>
          </w:tcPr>
          <w:p w14:paraId="1FA6067D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44" w:type="dxa"/>
          </w:tcPr>
          <w:p w14:paraId="3F53A8A6" w14:textId="77777777" w:rsidR="001F6790" w:rsidRDefault="001F6790" w:rsidP="00EC4618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852" w:type="dxa"/>
          </w:tcPr>
          <w:p w14:paraId="0779CDD6" w14:textId="77777777" w:rsidR="001F6790" w:rsidRPr="004E7A68" w:rsidRDefault="001F6790" w:rsidP="00EC4618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3B5C47D0" w14:textId="77777777" w:rsidR="00004801" w:rsidRPr="00004801" w:rsidRDefault="00004801" w:rsidP="00EC4618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sectPr w:rsidR="00004801" w:rsidRPr="00004801" w:rsidSect="002C66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4A"/>
    <w:multiLevelType w:val="multilevel"/>
    <w:tmpl w:val="732A9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C2409"/>
    <w:multiLevelType w:val="hybridMultilevel"/>
    <w:tmpl w:val="2A94F494"/>
    <w:lvl w:ilvl="0" w:tplc="7DD4BE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2C87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E5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9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EF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4E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9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4CF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3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191"/>
    <w:multiLevelType w:val="hybridMultilevel"/>
    <w:tmpl w:val="FF90C1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74A2"/>
    <w:multiLevelType w:val="hybridMultilevel"/>
    <w:tmpl w:val="8D36D664"/>
    <w:lvl w:ilvl="0" w:tplc="9754D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30816">
    <w:abstractNumId w:val="0"/>
  </w:num>
  <w:num w:numId="2" w16cid:durableId="28846728">
    <w:abstractNumId w:val="3"/>
  </w:num>
  <w:num w:numId="3" w16cid:durableId="1527594779">
    <w:abstractNumId w:val="1"/>
  </w:num>
  <w:num w:numId="4" w16cid:durableId="180951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B9"/>
    <w:rsid w:val="00004801"/>
    <w:rsid w:val="000152F9"/>
    <w:rsid w:val="0003028E"/>
    <w:rsid w:val="000327C5"/>
    <w:rsid w:val="00032D33"/>
    <w:rsid w:val="00042F41"/>
    <w:rsid w:val="0004473E"/>
    <w:rsid w:val="00050100"/>
    <w:rsid w:val="00055323"/>
    <w:rsid w:val="00067EB1"/>
    <w:rsid w:val="0008214E"/>
    <w:rsid w:val="000878E4"/>
    <w:rsid w:val="000901C8"/>
    <w:rsid w:val="00096585"/>
    <w:rsid w:val="000B4E72"/>
    <w:rsid w:val="000D56FC"/>
    <w:rsid w:val="00124E57"/>
    <w:rsid w:val="00127D91"/>
    <w:rsid w:val="00142C6C"/>
    <w:rsid w:val="0014406D"/>
    <w:rsid w:val="0015256C"/>
    <w:rsid w:val="00162FA2"/>
    <w:rsid w:val="00172D81"/>
    <w:rsid w:val="00181B1E"/>
    <w:rsid w:val="001846C0"/>
    <w:rsid w:val="001A7718"/>
    <w:rsid w:val="001D1C2E"/>
    <w:rsid w:val="001D70E9"/>
    <w:rsid w:val="001E20CE"/>
    <w:rsid w:val="001E3555"/>
    <w:rsid w:val="001F6790"/>
    <w:rsid w:val="0020079A"/>
    <w:rsid w:val="00224A73"/>
    <w:rsid w:val="0022723C"/>
    <w:rsid w:val="00234A98"/>
    <w:rsid w:val="0024086A"/>
    <w:rsid w:val="002437C4"/>
    <w:rsid w:val="00255B94"/>
    <w:rsid w:val="0026536A"/>
    <w:rsid w:val="002730B0"/>
    <w:rsid w:val="002764D9"/>
    <w:rsid w:val="00283057"/>
    <w:rsid w:val="002A6E51"/>
    <w:rsid w:val="002C665D"/>
    <w:rsid w:val="002D3EB4"/>
    <w:rsid w:val="002F438F"/>
    <w:rsid w:val="003078D4"/>
    <w:rsid w:val="00321362"/>
    <w:rsid w:val="003310C4"/>
    <w:rsid w:val="00346E55"/>
    <w:rsid w:val="00363715"/>
    <w:rsid w:val="00366104"/>
    <w:rsid w:val="003812FC"/>
    <w:rsid w:val="003A046A"/>
    <w:rsid w:val="003A5076"/>
    <w:rsid w:val="003A5A07"/>
    <w:rsid w:val="003C23DA"/>
    <w:rsid w:val="003C68DB"/>
    <w:rsid w:val="003D6FA6"/>
    <w:rsid w:val="0040671F"/>
    <w:rsid w:val="004172FF"/>
    <w:rsid w:val="00424DCD"/>
    <w:rsid w:val="00430475"/>
    <w:rsid w:val="00432BAA"/>
    <w:rsid w:val="00436C5F"/>
    <w:rsid w:val="00446CD4"/>
    <w:rsid w:val="004524ED"/>
    <w:rsid w:val="00470D9D"/>
    <w:rsid w:val="004809BE"/>
    <w:rsid w:val="00485B8B"/>
    <w:rsid w:val="004920F9"/>
    <w:rsid w:val="00493CBE"/>
    <w:rsid w:val="004A2A11"/>
    <w:rsid w:val="004A5BBF"/>
    <w:rsid w:val="004B1A71"/>
    <w:rsid w:val="004B7713"/>
    <w:rsid w:val="004C1D73"/>
    <w:rsid w:val="004C4BCB"/>
    <w:rsid w:val="004C4DC3"/>
    <w:rsid w:val="004D5737"/>
    <w:rsid w:val="004E12B3"/>
    <w:rsid w:val="004E7A68"/>
    <w:rsid w:val="004F4CB5"/>
    <w:rsid w:val="00503121"/>
    <w:rsid w:val="00504231"/>
    <w:rsid w:val="0050534C"/>
    <w:rsid w:val="00521683"/>
    <w:rsid w:val="00531BC8"/>
    <w:rsid w:val="0053314B"/>
    <w:rsid w:val="0053434F"/>
    <w:rsid w:val="0054153D"/>
    <w:rsid w:val="00547B5F"/>
    <w:rsid w:val="00560030"/>
    <w:rsid w:val="00577E17"/>
    <w:rsid w:val="005878FE"/>
    <w:rsid w:val="005A1455"/>
    <w:rsid w:val="005A3DB7"/>
    <w:rsid w:val="005A533C"/>
    <w:rsid w:val="005B4D2C"/>
    <w:rsid w:val="005B5864"/>
    <w:rsid w:val="005C093D"/>
    <w:rsid w:val="005C2BCB"/>
    <w:rsid w:val="005E53E4"/>
    <w:rsid w:val="005E68F9"/>
    <w:rsid w:val="005F6DAA"/>
    <w:rsid w:val="0061174F"/>
    <w:rsid w:val="00617670"/>
    <w:rsid w:val="00617B67"/>
    <w:rsid w:val="00643533"/>
    <w:rsid w:val="006507EE"/>
    <w:rsid w:val="0065263F"/>
    <w:rsid w:val="006528A6"/>
    <w:rsid w:val="00654D31"/>
    <w:rsid w:val="006669DC"/>
    <w:rsid w:val="00667C3C"/>
    <w:rsid w:val="00672189"/>
    <w:rsid w:val="006750B1"/>
    <w:rsid w:val="006751B3"/>
    <w:rsid w:val="00685667"/>
    <w:rsid w:val="006A2FAC"/>
    <w:rsid w:val="006C2078"/>
    <w:rsid w:val="006C5BAF"/>
    <w:rsid w:val="006D1F73"/>
    <w:rsid w:val="006D2228"/>
    <w:rsid w:val="006F6304"/>
    <w:rsid w:val="007313D2"/>
    <w:rsid w:val="00740EF9"/>
    <w:rsid w:val="00745B97"/>
    <w:rsid w:val="00752DEB"/>
    <w:rsid w:val="00766A25"/>
    <w:rsid w:val="00773670"/>
    <w:rsid w:val="00775D5D"/>
    <w:rsid w:val="00786F24"/>
    <w:rsid w:val="007933A6"/>
    <w:rsid w:val="007B0496"/>
    <w:rsid w:val="007B41B2"/>
    <w:rsid w:val="007B7AEB"/>
    <w:rsid w:val="007F7CD3"/>
    <w:rsid w:val="0080543D"/>
    <w:rsid w:val="00822A81"/>
    <w:rsid w:val="00824CEE"/>
    <w:rsid w:val="008267DB"/>
    <w:rsid w:val="008407BB"/>
    <w:rsid w:val="00842218"/>
    <w:rsid w:val="00850DBD"/>
    <w:rsid w:val="00854B03"/>
    <w:rsid w:val="0086503C"/>
    <w:rsid w:val="0088349F"/>
    <w:rsid w:val="00893985"/>
    <w:rsid w:val="0089659B"/>
    <w:rsid w:val="008E71FA"/>
    <w:rsid w:val="00900385"/>
    <w:rsid w:val="00903A68"/>
    <w:rsid w:val="00903DBC"/>
    <w:rsid w:val="00923898"/>
    <w:rsid w:val="00945D9D"/>
    <w:rsid w:val="009741AD"/>
    <w:rsid w:val="009840B9"/>
    <w:rsid w:val="009B33CE"/>
    <w:rsid w:val="009C461C"/>
    <w:rsid w:val="009C4E9E"/>
    <w:rsid w:val="009F2439"/>
    <w:rsid w:val="00A079FE"/>
    <w:rsid w:val="00A11719"/>
    <w:rsid w:val="00A12835"/>
    <w:rsid w:val="00A130FC"/>
    <w:rsid w:val="00A27B64"/>
    <w:rsid w:val="00A3599E"/>
    <w:rsid w:val="00A43CD6"/>
    <w:rsid w:val="00A61AA1"/>
    <w:rsid w:val="00A76CF7"/>
    <w:rsid w:val="00A80DBB"/>
    <w:rsid w:val="00A820D3"/>
    <w:rsid w:val="00A9383F"/>
    <w:rsid w:val="00A949EE"/>
    <w:rsid w:val="00AB722A"/>
    <w:rsid w:val="00AD3E74"/>
    <w:rsid w:val="00B01546"/>
    <w:rsid w:val="00B12E99"/>
    <w:rsid w:val="00B32955"/>
    <w:rsid w:val="00B50992"/>
    <w:rsid w:val="00B83FA5"/>
    <w:rsid w:val="00B936AF"/>
    <w:rsid w:val="00BA75A9"/>
    <w:rsid w:val="00BB6C5B"/>
    <w:rsid w:val="00BF70E1"/>
    <w:rsid w:val="00C0170F"/>
    <w:rsid w:val="00C017B2"/>
    <w:rsid w:val="00C05AC6"/>
    <w:rsid w:val="00C16526"/>
    <w:rsid w:val="00C47FD6"/>
    <w:rsid w:val="00C549EE"/>
    <w:rsid w:val="00C7491F"/>
    <w:rsid w:val="00C87F00"/>
    <w:rsid w:val="00CA7191"/>
    <w:rsid w:val="00CB08B7"/>
    <w:rsid w:val="00CB1D53"/>
    <w:rsid w:val="00CC4E77"/>
    <w:rsid w:val="00CD2EA0"/>
    <w:rsid w:val="00CE14F4"/>
    <w:rsid w:val="00CE4382"/>
    <w:rsid w:val="00D0585B"/>
    <w:rsid w:val="00D12C71"/>
    <w:rsid w:val="00D13E59"/>
    <w:rsid w:val="00D16F7D"/>
    <w:rsid w:val="00D31EB5"/>
    <w:rsid w:val="00D42C97"/>
    <w:rsid w:val="00D50D29"/>
    <w:rsid w:val="00D57CDE"/>
    <w:rsid w:val="00D819EE"/>
    <w:rsid w:val="00D834C3"/>
    <w:rsid w:val="00D84834"/>
    <w:rsid w:val="00D85E08"/>
    <w:rsid w:val="00DB0685"/>
    <w:rsid w:val="00DB5133"/>
    <w:rsid w:val="00DC1D3B"/>
    <w:rsid w:val="00DC5D92"/>
    <w:rsid w:val="00DF6613"/>
    <w:rsid w:val="00E03FE0"/>
    <w:rsid w:val="00E040C6"/>
    <w:rsid w:val="00E13059"/>
    <w:rsid w:val="00E16436"/>
    <w:rsid w:val="00E408D5"/>
    <w:rsid w:val="00E42407"/>
    <w:rsid w:val="00E43A6C"/>
    <w:rsid w:val="00E75B9D"/>
    <w:rsid w:val="00EA2DA7"/>
    <w:rsid w:val="00EB1277"/>
    <w:rsid w:val="00EC4618"/>
    <w:rsid w:val="00EC6B11"/>
    <w:rsid w:val="00ED2D46"/>
    <w:rsid w:val="00EE0118"/>
    <w:rsid w:val="00EE27B3"/>
    <w:rsid w:val="00F16C2B"/>
    <w:rsid w:val="00F17CFC"/>
    <w:rsid w:val="00F33F0B"/>
    <w:rsid w:val="00F559CB"/>
    <w:rsid w:val="00F61A26"/>
    <w:rsid w:val="00F64763"/>
    <w:rsid w:val="00F658A1"/>
    <w:rsid w:val="00F84655"/>
    <w:rsid w:val="00F876A7"/>
    <w:rsid w:val="00F95646"/>
    <w:rsid w:val="00F971ED"/>
    <w:rsid w:val="00FC28B1"/>
    <w:rsid w:val="00FC581F"/>
    <w:rsid w:val="00FF3F51"/>
    <w:rsid w:val="00FF4210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AC89"/>
  <w15:chartTrackingRefBased/>
  <w15:docId w15:val="{3CA94908-0CB2-5A41-B23E-1AACB9E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8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6" ma:contentTypeDescription="Create a new document." ma:contentTypeScope="" ma:versionID="4941203159edf67dac57288b8f0f79b2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388a24693229fd6ecc1d95b2517c37ad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4bef2-62e3-4f1e-829d-07e25538c5a8}" ma:internalName="TaxCatchAll" ma:showField="CatchAllData" ma:web="d30800ef-236c-4d15-8099-5768e4938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a8b0a-a927-43d9-b66b-3bc227b94def">
      <Terms xmlns="http://schemas.microsoft.com/office/infopath/2007/PartnerControls"/>
    </lcf76f155ced4ddcb4097134ff3c332f>
    <TaxCatchAll xmlns="d30800ef-236c-4d15-8099-5768e4938a29" xsi:nil="true"/>
  </documentManagement>
</p:properties>
</file>

<file path=customXml/itemProps1.xml><?xml version="1.0" encoding="utf-8"?>
<ds:datastoreItem xmlns:ds="http://schemas.openxmlformats.org/officeDocument/2006/customXml" ds:itemID="{5F697EAA-8805-4D30-88F2-17F6387B0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F1E1C-DFCA-42C4-8A44-510C01201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5078C-3CB1-4EE5-9C6F-EE946550F1AB}">
  <ds:schemaRefs>
    <ds:schemaRef ds:uri="http://schemas.microsoft.com/office/2006/metadata/properties"/>
    <ds:schemaRef ds:uri="http://schemas.microsoft.com/office/infopath/2007/PartnerControls"/>
    <ds:schemaRef ds:uri="8dea8b0a-a927-43d9-b66b-3bc227b94def"/>
    <ds:schemaRef ds:uri="d30800ef-236c-4d15-8099-5768e4938a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Dunbar</dc:creator>
  <cp:keywords/>
  <dc:description/>
  <cp:lastModifiedBy>Ian Brooks</cp:lastModifiedBy>
  <cp:revision>147</cp:revision>
  <dcterms:created xsi:type="dcterms:W3CDTF">2022-10-03T10:26:00Z</dcterms:created>
  <dcterms:modified xsi:type="dcterms:W3CDTF">2022-10-10T14:21:00Z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0x01010044DC9DA1B0B0674C8E6F036381623073</vt:lpwstr>
  </property>
  <property fmtid="{D5CDD505-2E9C-101B-9397-08002B2CF9AE}" pid="3" name="MediaServiceImageTags">
    <vt:lpwstr/>
  </property>
</Properties>
</file>