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6CDB" w14:textId="77777777" w:rsidR="0068385F" w:rsidRDefault="0068385F" w:rsidP="0068385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A73B64" wp14:editId="719E5965">
            <wp:simplePos x="0" y="0"/>
            <wp:positionH relativeFrom="margin">
              <wp:posOffset>5105400</wp:posOffset>
            </wp:positionH>
            <wp:positionV relativeFrom="margin">
              <wp:posOffset>-558800</wp:posOffset>
            </wp:positionV>
            <wp:extent cx="1143000" cy="1128395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7E321" w14:textId="77777777" w:rsidR="0068385F" w:rsidRDefault="0068385F" w:rsidP="0068385F"/>
    <w:p w14:paraId="77612D18" w14:textId="77777777" w:rsidR="0068385F" w:rsidRDefault="0068385F" w:rsidP="0068385F"/>
    <w:p w14:paraId="660BF631" w14:textId="1F73D1D5" w:rsidR="0068385F" w:rsidRPr="008E6EF9" w:rsidRDefault="0068385F" w:rsidP="0068385F">
      <w:pPr>
        <w:rPr>
          <w:b/>
          <w:bCs/>
          <w:sz w:val="24"/>
          <w:szCs w:val="24"/>
        </w:rPr>
      </w:pPr>
      <w:r w:rsidRPr="008E6EF9">
        <w:rPr>
          <w:b/>
          <w:bCs/>
          <w:sz w:val="24"/>
          <w:szCs w:val="24"/>
        </w:rPr>
        <w:t xml:space="preserve">Paper for: The </w:t>
      </w:r>
      <w:r w:rsidR="007A17BE">
        <w:rPr>
          <w:b/>
          <w:bCs/>
          <w:sz w:val="24"/>
          <w:szCs w:val="24"/>
        </w:rPr>
        <w:t>LEP Board</w:t>
      </w:r>
    </w:p>
    <w:p w14:paraId="73F09508" w14:textId="5F4B68E0" w:rsidR="0068385F" w:rsidRPr="008E6EF9" w:rsidRDefault="0068385F" w:rsidP="0068385F">
      <w:pPr>
        <w:rPr>
          <w:b/>
          <w:bCs/>
          <w:sz w:val="24"/>
          <w:szCs w:val="24"/>
        </w:rPr>
      </w:pPr>
      <w:r w:rsidRPr="008E6EF9">
        <w:rPr>
          <w:b/>
          <w:bCs/>
          <w:sz w:val="24"/>
          <w:szCs w:val="24"/>
        </w:rPr>
        <w:t xml:space="preserve">Title:   </w:t>
      </w:r>
      <w:r w:rsidR="00D51654">
        <w:rPr>
          <w:b/>
          <w:bCs/>
          <w:sz w:val="24"/>
          <w:szCs w:val="24"/>
        </w:rPr>
        <w:t>Articles of Association</w:t>
      </w:r>
    </w:p>
    <w:p w14:paraId="6F924EF0" w14:textId="2D7D1504" w:rsidR="0068385F" w:rsidRPr="008E6EF9" w:rsidRDefault="0068385F" w:rsidP="0068385F">
      <w:pPr>
        <w:rPr>
          <w:b/>
          <w:bCs/>
          <w:sz w:val="24"/>
          <w:szCs w:val="24"/>
        </w:rPr>
      </w:pPr>
      <w:r w:rsidRPr="008E6EF9">
        <w:rPr>
          <w:b/>
          <w:bCs/>
          <w:sz w:val="24"/>
          <w:szCs w:val="24"/>
        </w:rPr>
        <w:t xml:space="preserve">Date:  </w:t>
      </w:r>
      <w:r w:rsidR="00741C2C">
        <w:rPr>
          <w:b/>
          <w:bCs/>
          <w:sz w:val="24"/>
          <w:szCs w:val="24"/>
        </w:rPr>
        <w:t>26</w:t>
      </w:r>
      <w:r w:rsidR="007A17BE">
        <w:rPr>
          <w:b/>
          <w:bCs/>
          <w:sz w:val="24"/>
          <w:szCs w:val="24"/>
        </w:rPr>
        <w:t xml:space="preserve"> </w:t>
      </w:r>
      <w:r w:rsidR="00741C2C">
        <w:rPr>
          <w:b/>
          <w:bCs/>
          <w:sz w:val="24"/>
          <w:szCs w:val="24"/>
        </w:rPr>
        <w:t>February 2020</w:t>
      </w:r>
    </w:p>
    <w:p w14:paraId="5AEB30EA" w14:textId="43FD3433" w:rsidR="0068385F" w:rsidRDefault="0068385F" w:rsidP="006838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Strategic </w:t>
      </w:r>
      <w:r w:rsidRPr="008E6EF9">
        <w:rPr>
          <w:b/>
          <w:bCs/>
          <w:sz w:val="24"/>
          <w:szCs w:val="24"/>
        </w:rPr>
        <w:t xml:space="preserve">Purpose:  </w:t>
      </w:r>
      <w:r>
        <w:rPr>
          <w:b/>
          <w:bCs/>
          <w:sz w:val="24"/>
          <w:szCs w:val="24"/>
        </w:rPr>
        <w:t>Delivery of Strateg</w:t>
      </w:r>
      <w:r w:rsidR="00E82C75">
        <w:rPr>
          <w:b/>
          <w:bCs/>
          <w:sz w:val="24"/>
          <w:szCs w:val="24"/>
        </w:rPr>
        <w:t>ic</w:t>
      </w:r>
      <w:r>
        <w:rPr>
          <w:b/>
          <w:bCs/>
          <w:sz w:val="24"/>
          <w:szCs w:val="24"/>
        </w:rPr>
        <w:t xml:space="preserve"> Objectives</w:t>
      </w:r>
      <w:r w:rsidR="00D51654">
        <w:rPr>
          <w:b/>
          <w:bCs/>
          <w:sz w:val="24"/>
          <w:szCs w:val="24"/>
        </w:rPr>
        <w:t>, Governance</w:t>
      </w:r>
    </w:p>
    <w:p w14:paraId="0BC07839" w14:textId="63289844" w:rsidR="0068385F" w:rsidRDefault="0068385F" w:rsidP="006838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Resource Implications:  </w:t>
      </w:r>
      <w:r w:rsidR="00D51654">
        <w:rPr>
          <w:b/>
          <w:bCs/>
          <w:sz w:val="24"/>
          <w:szCs w:val="24"/>
        </w:rPr>
        <w:t xml:space="preserve">N/A </w:t>
      </w:r>
    </w:p>
    <w:p w14:paraId="71D0D5CE" w14:textId="7DAE6673" w:rsidR="0068385F" w:rsidRDefault="007A17BE" w:rsidP="006838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</w:t>
      </w:r>
      <w:r w:rsidR="0068385F">
        <w:rPr>
          <w:b/>
          <w:bCs/>
          <w:sz w:val="24"/>
          <w:szCs w:val="24"/>
        </w:rPr>
        <w:t xml:space="preserve">:  </w:t>
      </w:r>
      <w:r w:rsidR="0068385F" w:rsidRPr="008E6EF9">
        <w:rPr>
          <w:b/>
          <w:bCs/>
          <w:sz w:val="24"/>
          <w:szCs w:val="24"/>
        </w:rPr>
        <w:t xml:space="preserve">For </w:t>
      </w:r>
      <w:r w:rsidR="0068385F">
        <w:rPr>
          <w:b/>
          <w:bCs/>
          <w:sz w:val="24"/>
          <w:szCs w:val="24"/>
        </w:rPr>
        <w:t>Decision</w:t>
      </w:r>
      <w:r>
        <w:rPr>
          <w:b/>
          <w:bCs/>
          <w:sz w:val="24"/>
          <w:szCs w:val="24"/>
        </w:rPr>
        <w:t xml:space="preserve"> – To</w:t>
      </w:r>
      <w:r w:rsidR="00741C2C">
        <w:rPr>
          <w:b/>
          <w:bCs/>
          <w:sz w:val="24"/>
          <w:szCs w:val="24"/>
        </w:rPr>
        <w:t xml:space="preserve"> </w:t>
      </w:r>
      <w:r w:rsidR="00D51654">
        <w:rPr>
          <w:b/>
          <w:bCs/>
          <w:sz w:val="24"/>
          <w:szCs w:val="24"/>
        </w:rPr>
        <w:t>approve</w:t>
      </w:r>
      <w:r w:rsidR="00741C2C">
        <w:rPr>
          <w:b/>
          <w:bCs/>
          <w:sz w:val="24"/>
          <w:szCs w:val="24"/>
        </w:rPr>
        <w:t xml:space="preserve"> the LEP</w:t>
      </w:r>
      <w:r w:rsidR="00D51654">
        <w:rPr>
          <w:b/>
          <w:bCs/>
          <w:sz w:val="24"/>
          <w:szCs w:val="24"/>
        </w:rPr>
        <w:t xml:space="preserve"> updates the Articles of Association to reflect existing understanding of LEP constitution and operation.  </w:t>
      </w:r>
    </w:p>
    <w:p w14:paraId="0300AB0E" w14:textId="181FF7BA" w:rsidR="007A17BE" w:rsidRDefault="007A17BE" w:rsidP="007A17BE">
      <w:pPr>
        <w:pStyle w:val="ListParagraph"/>
        <w:ind w:left="426"/>
        <w:rPr>
          <w:b/>
          <w:bCs/>
        </w:rPr>
      </w:pPr>
    </w:p>
    <w:p w14:paraId="4CFD0244" w14:textId="65DEC9F8" w:rsidR="00692797" w:rsidRPr="002B5FA7" w:rsidRDefault="00AB391D" w:rsidP="00AB391D">
      <w:pPr>
        <w:pStyle w:val="ListParagraph"/>
        <w:numPr>
          <w:ilvl w:val="0"/>
          <w:numId w:val="1"/>
        </w:numPr>
        <w:ind w:left="426" w:hanging="426"/>
      </w:pPr>
      <w:r w:rsidRPr="002B5FA7">
        <w:rPr>
          <w:b/>
          <w:bCs/>
        </w:rPr>
        <w:t>Background</w:t>
      </w:r>
    </w:p>
    <w:p w14:paraId="755B7120" w14:textId="42FDBA28" w:rsidR="005E7447" w:rsidRDefault="00903950" w:rsidP="009378BB">
      <w:pPr>
        <w:pStyle w:val="ListParagraph"/>
        <w:numPr>
          <w:ilvl w:val="1"/>
          <w:numId w:val="1"/>
        </w:numPr>
        <w:jc w:val="both"/>
      </w:pPr>
      <w:r>
        <w:t xml:space="preserve">Preparation of the legal agreements for the LEP to enter the EZ Loan Facility identified that the current Articles of Association for the company do not reflect a decision by the Board taken several years ago to alter the membership.  </w:t>
      </w:r>
    </w:p>
    <w:p w14:paraId="703A6E41" w14:textId="796581E2" w:rsidR="0033518C" w:rsidRDefault="00903950" w:rsidP="002B5FA7">
      <w:pPr>
        <w:pStyle w:val="ListParagraph"/>
        <w:numPr>
          <w:ilvl w:val="1"/>
          <w:numId w:val="1"/>
        </w:numPr>
        <w:jc w:val="both"/>
      </w:pPr>
      <w:r>
        <w:t xml:space="preserve">The decision affected the Members and Directors of the company, such that those directors not from a Local Authority, known as class “B” directors, would no longer be required to also be Members of the company.  </w:t>
      </w:r>
    </w:p>
    <w:p w14:paraId="4634A5A6" w14:textId="51F28853" w:rsidR="00D57CE4" w:rsidRDefault="00D57CE4" w:rsidP="002B5FA7">
      <w:pPr>
        <w:pStyle w:val="ListParagraph"/>
        <w:numPr>
          <w:ilvl w:val="1"/>
          <w:numId w:val="1"/>
        </w:numPr>
        <w:jc w:val="both"/>
      </w:pPr>
      <w:r>
        <w:t>For clarity, the LEP is a company limited by guarantee and as such has Members rather than shareholders.  All Members act as guarantors of the company</w:t>
      </w:r>
      <w:r w:rsidR="00504AF1">
        <w:t xml:space="preserve"> and its debts</w:t>
      </w:r>
      <w:r>
        <w:t xml:space="preserve">, all be it that the guarantee is limited to £1.  Presently, according to the existing Articles, all directors are also Members. The </w:t>
      </w:r>
      <w:r w:rsidR="00504AF1">
        <w:t>amendment</w:t>
      </w:r>
      <w:r>
        <w:t xml:space="preserve"> </w:t>
      </w:r>
      <w:r w:rsidR="00504AF1">
        <w:t xml:space="preserve">neither </w:t>
      </w:r>
      <w:r>
        <w:t>change</w:t>
      </w:r>
      <w:r w:rsidR="00504AF1">
        <w:t>s</w:t>
      </w:r>
      <w:r>
        <w:t xml:space="preserve"> who are directors </w:t>
      </w:r>
      <w:r w:rsidR="00504AF1">
        <w:t xml:space="preserve">nor how the board operates or performs its functions.  </w:t>
      </w:r>
      <w:bookmarkStart w:id="0" w:name="_GoBack"/>
      <w:bookmarkEnd w:id="0"/>
    </w:p>
    <w:p w14:paraId="0E6CEDA6" w14:textId="29E80FC8" w:rsidR="005E7447" w:rsidRDefault="00903950" w:rsidP="002B5FA7">
      <w:pPr>
        <w:pStyle w:val="ListParagraph"/>
        <w:numPr>
          <w:ilvl w:val="1"/>
          <w:numId w:val="1"/>
        </w:numPr>
        <w:jc w:val="both"/>
      </w:pPr>
      <w:r>
        <w:t xml:space="preserve">Operating the company on the basis that </w:t>
      </w:r>
      <w:r w:rsidR="005E7447">
        <w:t>Membership was limited to</w:t>
      </w:r>
      <w:r>
        <w:t xml:space="preserve"> the Local Authorities</w:t>
      </w:r>
      <w:r w:rsidR="005E7447">
        <w:t>, without the necessary change to the Articles of Association has been a “technical” breach of the Articles, without any real consequence</w:t>
      </w:r>
      <w:r w:rsidR="00F370C0">
        <w:t xml:space="preserve"> until now</w:t>
      </w:r>
      <w:r w:rsidR="005E7447">
        <w:t xml:space="preserve">.  </w:t>
      </w:r>
    </w:p>
    <w:p w14:paraId="6F83C50F" w14:textId="234E1C64" w:rsidR="009378BB" w:rsidRDefault="005E7447" w:rsidP="009378BB">
      <w:pPr>
        <w:pStyle w:val="ListParagraph"/>
        <w:numPr>
          <w:ilvl w:val="1"/>
          <w:numId w:val="1"/>
        </w:numPr>
        <w:jc w:val="both"/>
      </w:pPr>
      <w:r>
        <w:t xml:space="preserve">However, </w:t>
      </w:r>
      <w:proofErr w:type="gramStart"/>
      <w:r>
        <w:t>in order for</w:t>
      </w:r>
      <w:proofErr w:type="gramEnd"/>
      <w:r>
        <w:t xml:space="preserve"> the LEP to move forward and comply with the conditions</w:t>
      </w:r>
      <w:r w:rsidR="00E35F34">
        <w:t>’</w:t>
      </w:r>
      <w:r>
        <w:t xml:space="preserve"> precedent contained within the EZ Facility Agreements, this issue needs to be corrected and the Articles brought up to date. </w:t>
      </w:r>
    </w:p>
    <w:p w14:paraId="3340B5E6" w14:textId="4416702D" w:rsidR="00903950" w:rsidRDefault="009378BB" w:rsidP="009378BB">
      <w:pPr>
        <w:pStyle w:val="ListParagraph"/>
        <w:numPr>
          <w:ilvl w:val="1"/>
          <w:numId w:val="1"/>
        </w:numPr>
        <w:jc w:val="both"/>
      </w:pPr>
      <w:r>
        <w:t xml:space="preserve">The existing Articles of Association date to 2013, so the identification of this issue has presented an opportunity to review the Articles in their entirety. </w:t>
      </w:r>
    </w:p>
    <w:p w14:paraId="2B34B33A" w14:textId="77777777" w:rsidR="009B6C47" w:rsidRDefault="009B6C47" w:rsidP="009B6C47">
      <w:pPr>
        <w:pStyle w:val="ListParagraph"/>
        <w:ind w:left="792"/>
        <w:jc w:val="both"/>
      </w:pPr>
    </w:p>
    <w:p w14:paraId="6E4A5279" w14:textId="20B7605E" w:rsidR="00CC415F" w:rsidRPr="00CC415F" w:rsidRDefault="00CC415F" w:rsidP="00CC415F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CC415F">
        <w:rPr>
          <w:b/>
        </w:rPr>
        <w:t>Pro</w:t>
      </w:r>
      <w:r w:rsidR="005E7447">
        <w:rPr>
          <w:b/>
        </w:rPr>
        <w:t>cess</w:t>
      </w:r>
    </w:p>
    <w:p w14:paraId="1B5124AC" w14:textId="798CBBB7" w:rsidR="00812AB3" w:rsidRDefault="005E7447" w:rsidP="00812AB3">
      <w:pPr>
        <w:pStyle w:val="ListParagraph"/>
        <w:numPr>
          <w:ilvl w:val="1"/>
          <w:numId w:val="1"/>
        </w:numPr>
        <w:ind w:left="850" w:hanging="425"/>
        <w:contextualSpacing w:val="0"/>
      </w:pPr>
      <w:r>
        <w:t xml:space="preserve">Attached to this paper is a </w:t>
      </w:r>
      <w:r w:rsidR="00F370C0">
        <w:t>lega</w:t>
      </w:r>
      <w:r>
        <w:t xml:space="preserve">lly prepared minute of the Board which records the technical breach of the Articles and the Board’s agreement that the Articles are amended. </w:t>
      </w:r>
    </w:p>
    <w:p w14:paraId="0CB234C1" w14:textId="6B26A069" w:rsidR="005E7447" w:rsidRDefault="005E7447" w:rsidP="00812AB3">
      <w:pPr>
        <w:pStyle w:val="ListParagraph"/>
        <w:numPr>
          <w:ilvl w:val="1"/>
          <w:numId w:val="1"/>
        </w:numPr>
        <w:ind w:left="850" w:hanging="425"/>
        <w:contextualSpacing w:val="0"/>
      </w:pPr>
      <w:r>
        <w:t xml:space="preserve">A set of the revised Articles of Association therefore accompanies this paper. </w:t>
      </w:r>
    </w:p>
    <w:p w14:paraId="12F89528" w14:textId="61D11FD7" w:rsidR="00D51654" w:rsidRDefault="005E7447" w:rsidP="007F7AA0">
      <w:pPr>
        <w:pStyle w:val="ListParagraph"/>
        <w:numPr>
          <w:ilvl w:val="1"/>
          <w:numId w:val="1"/>
        </w:numPr>
        <w:ind w:left="850" w:hanging="425"/>
        <w:contextualSpacing w:val="0"/>
      </w:pPr>
      <w:r>
        <w:t xml:space="preserve">Subject to that agreement being </w:t>
      </w:r>
      <w:r w:rsidR="00F370C0">
        <w:t>concluded</w:t>
      </w:r>
      <w:r>
        <w:t xml:space="preserve">, a special resolution is </w:t>
      </w:r>
      <w:r w:rsidR="00F370C0">
        <w:t xml:space="preserve">then </w:t>
      </w:r>
      <w:r>
        <w:t>required signed by the Members (the three Local Authorities) to authorise the changes to the Articles, which will subsequently be placed on public record at Companies House.</w:t>
      </w:r>
      <w:r w:rsidR="00812AB3">
        <w:t xml:space="preserve"> </w:t>
      </w:r>
    </w:p>
    <w:p w14:paraId="4EBC5686" w14:textId="4063D8D2" w:rsidR="00AB391D" w:rsidRDefault="00175E0D" w:rsidP="001F53E4">
      <w:pPr>
        <w:ind w:left="425"/>
      </w:pPr>
      <w:r>
        <w:t xml:space="preserve"> </w:t>
      </w:r>
    </w:p>
    <w:p w14:paraId="2A5044DF" w14:textId="5197E6F1" w:rsidR="001F53E4" w:rsidRDefault="007F7AA0" w:rsidP="001F53E4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lastRenderedPageBreak/>
        <w:t xml:space="preserve">Summary of Revisions to the Articles of Association </w:t>
      </w:r>
    </w:p>
    <w:p w14:paraId="646EF1F5" w14:textId="3013D8A8" w:rsidR="00D51654" w:rsidRDefault="007F7AA0" w:rsidP="00D51654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Amend the Articles such that only Local Authorities are “A” Members and “A” Directors.  All other directors shall be “B” Directors only and not Members.  </w:t>
      </w:r>
    </w:p>
    <w:p w14:paraId="046B8518" w14:textId="291F30E1" w:rsidR="007F7AA0" w:rsidRPr="008A2842" w:rsidRDefault="007F7AA0" w:rsidP="00D51654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>To expand the “ex-</w:t>
      </w:r>
      <w:proofErr w:type="spellStart"/>
      <w:r>
        <w:rPr>
          <w:bCs/>
        </w:rPr>
        <w:t>offico</w:t>
      </w:r>
      <w:proofErr w:type="spellEnd"/>
      <w:r>
        <w:rPr>
          <w:bCs/>
        </w:rPr>
        <w:t xml:space="preserve">” Directorship offered to Local Authority Leaders such as to allow the Leaders of Local Authorities to nominate someone as the director for the Local Authority. </w:t>
      </w:r>
    </w:p>
    <w:p w14:paraId="154279D3" w14:textId="1F9F3E89" w:rsidR="007F3B94" w:rsidRDefault="007F7AA0" w:rsidP="008A2842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To limit the board to a maximum of 20 </w:t>
      </w:r>
      <w:r w:rsidR="009378BB">
        <w:rPr>
          <w:bCs/>
        </w:rPr>
        <w:t>(a limit set by BEIS</w:t>
      </w:r>
      <w:r w:rsidR="00E35F34">
        <w:rPr>
          <w:bCs/>
        </w:rPr>
        <w:t>)</w:t>
      </w:r>
      <w:r w:rsidR="009378BB">
        <w:rPr>
          <w:bCs/>
        </w:rPr>
        <w:t xml:space="preserve"> not currently reflected.</w:t>
      </w:r>
    </w:p>
    <w:p w14:paraId="228A6CE4" w14:textId="3366114F" w:rsidR="009378BB" w:rsidRDefault="009378BB" w:rsidP="008A2842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To allow a director to appoint another director as a proxy or substitute, previously not permitted.  It is still not possible for a director to appoint a substitute who is not a director, since that person would not carry the powers of a director. </w:t>
      </w:r>
    </w:p>
    <w:p w14:paraId="13E54F15" w14:textId="0D6A6C09" w:rsidR="007F3B94" w:rsidRPr="00F370C0" w:rsidRDefault="009378BB" w:rsidP="00F370C0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To permit the </w:t>
      </w:r>
      <w:r w:rsidR="00E35F34">
        <w:rPr>
          <w:bCs/>
        </w:rPr>
        <w:t>B</w:t>
      </w:r>
      <w:r>
        <w:rPr>
          <w:bCs/>
        </w:rPr>
        <w:t xml:space="preserve">oard to empower a sub-committee to take decisions on appointment of a Chair and Deputy Chair. </w:t>
      </w:r>
    </w:p>
    <w:p w14:paraId="61FB15EF" w14:textId="77777777" w:rsidR="007F3B94" w:rsidRPr="007F3B94" w:rsidRDefault="007F3B94" w:rsidP="007F3B94">
      <w:pPr>
        <w:pStyle w:val="ListParagraph"/>
        <w:ind w:left="792"/>
        <w:rPr>
          <w:bCs/>
        </w:rPr>
      </w:pPr>
    </w:p>
    <w:p w14:paraId="61221059" w14:textId="78856775" w:rsidR="007F3B94" w:rsidRPr="008A2842" w:rsidRDefault="007F3B94" w:rsidP="007F3B94">
      <w:pPr>
        <w:pStyle w:val="ListParagraph"/>
        <w:numPr>
          <w:ilvl w:val="0"/>
          <w:numId w:val="1"/>
        </w:numPr>
        <w:ind w:left="426" w:hanging="426"/>
        <w:rPr>
          <w:bCs/>
        </w:rPr>
      </w:pPr>
      <w:r w:rsidRPr="007F3B94">
        <w:rPr>
          <w:b/>
        </w:rPr>
        <w:t xml:space="preserve">Recommendation </w:t>
      </w:r>
    </w:p>
    <w:p w14:paraId="30DEFA73" w14:textId="7837E931" w:rsidR="007F3B94" w:rsidRPr="008A2842" w:rsidRDefault="007F3B94" w:rsidP="008A2842">
      <w:pPr>
        <w:pStyle w:val="ListParagraph"/>
        <w:numPr>
          <w:ilvl w:val="1"/>
          <w:numId w:val="1"/>
        </w:numPr>
        <w:jc w:val="both"/>
        <w:rPr>
          <w:bCs/>
        </w:rPr>
      </w:pPr>
      <w:r w:rsidRPr="008A2842">
        <w:rPr>
          <w:bCs/>
        </w:rPr>
        <w:t xml:space="preserve">The Board is recommended to </w:t>
      </w:r>
      <w:r w:rsidR="008A2842" w:rsidRPr="008A2842">
        <w:rPr>
          <w:bCs/>
        </w:rPr>
        <w:t>approve</w:t>
      </w:r>
      <w:r w:rsidRPr="008A2842">
        <w:rPr>
          <w:bCs/>
        </w:rPr>
        <w:t xml:space="preserve"> the </w:t>
      </w:r>
      <w:r w:rsidR="00F370C0">
        <w:rPr>
          <w:bCs/>
        </w:rPr>
        <w:t>revisions to the Articles of Association</w:t>
      </w:r>
      <w:r w:rsidR="008A2842" w:rsidRPr="008A2842">
        <w:rPr>
          <w:bCs/>
        </w:rPr>
        <w:t>.</w:t>
      </w:r>
      <w:r w:rsidR="00364875" w:rsidRPr="008A2842">
        <w:rPr>
          <w:bCs/>
        </w:rPr>
        <w:t xml:space="preserve"> </w:t>
      </w:r>
    </w:p>
    <w:p w14:paraId="4B81C710" w14:textId="40790FB6" w:rsidR="002B5FA7" w:rsidRDefault="002B5FA7" w:rsidP="002B5FA7">
      <w:pPr>
        <w:jc w:val="both"/>
        <w:rPr>
          <w:bCs/>
        </w:rPr>
      </w:pPr>
    </w:p>
    <w:p w14:paraId="7F5C8757" w14:textId="1BC106B9" w:rsidR="002B5FA7" w:rsidRDefault="002B5FA7" w:rsidP="002B5FA7">
      <w:pPr>
        <w:jc w:val="both"/>
        <w:rPr>
          <w:bCs/>
        </w:rPr>
      </w:pPr>
    </w:p>
    <w:p w14:paraId="751F21CA" w14:textId="604B2C4D" w:rsidR="002B5FA7" w:rsidRDefault="002B5FA7" w:rsidP="002B5FA7">
      <w:pPr>
        <w:jc w:val="both"/>
        <w:rPr>
          <w:b/>
        </w:rPr>
      </w:pPr>
      <w:r>
        <w:rPr>
          <w:b/>
        </w:rPr>
        <w:t>Ian Brooks</w:t>
      </w:r>
    </w:p>
    <w:p w14:paraId="3EEF76E4" w14:textId="09AB09A3" w:rsidR="002B5FA7" w:rsidRDefault="002B5FA7" w:rsidP="002B5FA7">
      <w:pPr>
        <w:jc w:val="both"/>
        <w:rPr>
          <w:b/>
        </w:rPr>
      </w:pPr>
      <w:r>
        <w:rPr>
          <w:b/>
        </w:rPr>
        <w:t xml:space="preserve">Finance and Commercial Director </w:t>
      </w:r>
    </w:p>
    <w:p w14:paraId="019D7282" w14:textId="21FDE86E" w:rsidR="002B5FA7" w:rsidRPr="002B5FA7" w:rsidRDefault="00741C2C" w:rsidP="002B5FA7">
      <w:pPr>
        <w:jc w:val="both"/>
        <w:rPr>
          <w:b/>
        </w:rPr>
      </w:pPr>
      <w:r>
        <w:rPr>
          <w:b/>
        </w:rPr>
        <w:t xml:space="preserve">February </w:t>
      </w:r>
      <w:r w:rsidR="002B5FA7">
        <w:rPr>
          <w:b/>
        </w:rPr>
        <w:t>20</w:t>
      </w:r>
      <w:r>
        <w:rPr>
          <w:b/>
        </w:rPr>
        <w:t>20</w:t>
      </w:r>
    </w:p>
    <w:p w14:paraId="5BD76288" w14:textId="5CC36764" w:rsidR="00692797" w:rsidRDefault="00692797">
      <w:pPr>
        <w:rPr>
          <w:bCs/>
        </w:rPr>
      </w:pPr>
    </w:p>
    <w:sectPr w:rsidR="00692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DFF"/>
    <w:multiLevelType w:val="multilevel"/>
    <w:tmpl w:val="393E7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B1388"/>
    <w:multiLevelType w:val="multilevel"/>
    <w:tmpl w:val="393E7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935AC2"/>
    <w:multiLevelType w:val="hybridMultilevel"/>
    <w:tmpl w:val="0B2ABC6C"/>
    <w:lvl w:ilvl="0" w:tplc="F712118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20"/>
    <w:rsid w:val="0004314A"/>
    <w:rsid w:val="00175E0D"/>
    <w:rsid w:val="001F53E4"/>
    <w:rsid w:val="00202218"/>
    <w:rsid w:val="002B5FA7"/>
    <w:rsid w:val="00322C3B"/>
    <w:rsid w:val="0033518C"/>
    <w:rsid w:val="00364875"/>
    <w:rsid w:val="003C0118"/>
    <w:rsid w:val="003C3620"/>
    <w:rsid w:val="00501AD2"/>
    <w:rsid w:val="00504AF1"/>
    <w:rsid w:val="00557E95"/>
    <w:rsid w:val="005A69C8"/>
    <w:rsid w:val="005E7447"/>
    <w:rsid w:val="0068385F"/>
    <w:rsid w:val="00692797"/>
    <w:rsid w:val="00741C2C"/>
    <w:rsid w:val="007A17BE"/>
    <w:rsid w:val="007F3B94"/>
    <w:rsid w:val="007F7AA0"/>
    <w:rsid w:val="00812AB3"/>
    <w:rsid w:val="0084331A"/>
    <w:rsid w:val="008A2842"/>
    <w:rsid w:val="00903950"/>
    <w:rsid w:val="009378BB"/>
    <w:rsid w:val="009B6C47"/>
    <w:rsid w:val="009D36F7"/>
    <w:rsid w:val="00AB391D"/>
    <w:rsid w:val="00B06719"/>
    <w:rsid w:val="00B94821"/>
    <w:rsid w:val="00BF2014"/>
    <w:rsid w:val="00CB7D7D"/>
    <w:rsid w:val="00CC415F"/>
    <w:rsid w:val="00D51654"/>
    <w:rsid w:val="00D57CE4"/>
    <w:rsid w:val="00DE4826"/>
    <w:rsid w:val="00E11A00"/>
    <w:rsid w:val="00E35F34"/>
    <w:rsid w:val="00E82C75"/>
    <w:rsid w:val="00E959C4"/>
    <w:rsid w:val="00F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C8BA"/>
  <w15:chartTrackingRefBased/>
  <w15:docId w15:val="{E4248D2D-428B-4D0B-9FFC-16CF92EA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Adlen</dc:creator>
  <cp:keywords/>
  <dc:description/>
  <cp:lastModifiedBy>Ian Brooks</cp:lastModifiedBy>
  <cp:revision>7</cp:revision>
  <dcterms:created xsi:type="dcterms:W3CDTF">2020-02-14T13:51:00Z</dcterms:created>
  <dcterms:modified xsi:type="dcterms:W3CDTF">2020-02-20T09:18:00Z</dcterms:modified>
</cp:coreProperties>
</file>