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29" w:rsidRPr="00233FFD" w:rsidRDefault="00981129" w:rsidP="005D16FA">
      <w:pPr>
        <w:pStyle w:val="Heading5"/>
        <w:rPr>
          <w:rFonts w:asciiTheme="minorHAnsi" w:hAnsiTheme="minorHAnsi" w:cstheme="minorHAnsi"/>
          <w:sz w:val="24"/>
          <w:u w:val="none"/>
        </w:rPr>
      </w:pPr>
      <w:bookmarkStart w:id="0" w:name="_Hlk501016721"/>
      <w:bookmarkEnd w:id="0"/>
      <w:r w:rsidRPr="00233FFD">
        <w:rPr>
          <w:rFonts w:asciiTheme="minorHAnsi" w:hAnsiTheme="minorHAnsi" w:cstheme="minorHAnsi"/>
          <w:noProof/>
          <w:sz w:val="24"/>
          <w:lang w:eastAsia="en-GB"/>
        </w:rPr>
        <w:drawing>
          <wp:anchor distT="0" distB="0" distL="114300" distR="114300" simplePos="0" relativeHeight="251657216" behindDoc="0" locked="0" layoutInCell="1" allowOverlap="1" wp14:anchorId="34F0C262" wp14:editId="135E0BFC">
            <wp:simplePos x="0" y="0"/>
            <wp:positionH relativeFrom="margin">
              <wp:posOffset>2374900</wp:posOffset>
            </wp:positionH>
            <wp:positionV relativeFrom="margin">
              <wp:posOffset>-561975</wp:posOffset>
            </wp:positionV>
            <wp:extent cx="1096010" cy="10826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p>
    <w:p w:rsidR="00981129" w:rsidRPr="00233FFD" w:rsidRDefault="00981129" w:rsidP="005D16FA">
      <w:pPr>
        <w:pStyle w:val="Heading5"/>
        <w:rPr>
          <w:rFonts w:asciiTheme="minorHAnsi" w:hAnsiTheme="minorHAnsi" w:cstheme="minorHAnsi"/>
          <w:sz w:val="24"/>
          <w:u w:val="none"/>
        </w:rPr>
      </w:pPr>
      <w:r w:rsidRPr="00233FFD">
        <w:rPr>
          <w:rFonts w:asciiTheme="minorHAnsi" w:hAnsiTheme="minorHAnsi" w:cstheme="minorHAnsi"/>
          <w:sz w:val="24"/>
          <w:u w:val="none"/>
        </w:rPr>
        <w:t>Cheshire &amp; Warrington Local Enterprise Partnership</w:t>
      </w:r>
    </w:p>
    <w:p w:rsidR="00981129" w:rsidRPr="00233FFD" w:rsidRDefault="00981129" w:rsidP="005D16FA">
      <w:pPr>
        <w:jc w:val="center"/>
        <w:rPr>
          <w:rFonts w:cstheme="minorHAnsi"/>
          <w:b/>
          <w:bCs/>
          <w:sz w:val="24"/>
          <w:szCs w:val="24"/>
        </w:rPr>
      </w:pPr>
      <w:r w:rsidRPr="00233FFD">
        <w:rPr>
          <w:rFonts w:cstheme="minorHAnsi"/>
          <w:b/>
          <w:bCs/>
          <w:sz w:val="24"/>
          <w:szCs w:val="24"/>
        </w:rPr>
        <w:t>Performance and Investment Committee</w:t>
      </w:r>
    </w:p>
    <w:p w:rsidR="00981129" w:rsidRPr="00233FFD" w:rsidRDefault="00981129" w:rsidP="00153C0D">
      <w:pPr>
        <w:jc w:val="both"/>
        <w:rPr>
          <w:rFonts w:cstheme="minorHAnsi"/>
          <w:sz w:val="24"/>
          <w:szCs w:val="24"/>
        </w:rPr>
      </w:pPr>
    </w:p>
    <w:tbl>
      <w:tblPr>
        <w:tblW w:w="9096"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5138"/>
        <w:gridCol w:w="3958"/>
      </w:tblGrid>
      <w:tr w:rsidR="00207415" w:rsidRPr="00233FFD" w:rsidTr="00233FFD">
        <w:trPr>
          <w:trHeight w:val="449"/>
          <w:jc w:val="center"/>
        </w:trPr>
        <w:tc>
          <w:tcPr>
            <w:tcW w:w="5138" w:type="dxa"/>
            <w:shd w:val="clear" w:color="auto" w:fill="C0C0C0"/>
          </w:tcPr>
          <w:p w:rsidR="00207415" w:rsidRPr="00233FFD" w:rsidRDefault="00207415" w:rsidP="00153C0D">
            <w:pPr>
              <w:jc w:val="both"/>
              <w:rPr>
                <w:rFonts w:cstheme="minorHAnsi"/>
                <w:b/>
                <w:sz w:val="24"/>
                <w:szCs w:val="24"/>
              </w:rPr>
            </w:pPr>
            <w:r w:rsidRPr="00233FFD">
              <w:rPr>
                <w:rFonts w:cstheme="minorHAnsi"/>
                <w:b/>
                <w:sz w:val="24"/>
                <w:szCs w:val="24"/>
              </w:rPr>
              <w:t xml:space="preserve">Title: Programme Manager Update Report             </w:t>
            </w:r>
          </w:p>
        </w:tc>
        <w:tc>
          <w:tcPr>
            <w:tcW w:w="3958" w:type="dxa"/>
            <w:shd w:val="clear" w:color="auto" w:fill="C0C0C0"/>
          </w:tcPr>
          <w:p w:rsidR="00207415" w:rsidRPr="00233FFD" w:rsidRDefault="00207415" w:rsidP="00207415">
            <w:pPr>
              <w:rPr>
                <w:rFonts w:cstheme="minorHAnsi"/>
                <w:b/>
                <w:sz w:val="24"/>
                <w:szCs w:val="24"/>
              </w:rPr>
            </w:pPr>
            <w:r w:rsidRPr="00233FFD">
              <w:rPr>
                <w:rFonts w:cstheme="minorHAnsi"/>
                <w:b/>
                <w:sz w:val="24"/>
                <w:szCs w:val="24"/>
              </w:rPr>
              <w:t>Agenda item:</w:t>
            </w:r>
            <w:r w:rsidR="00230130">
              <w:rPr>
                <w:rFonts w:cstheme="minorHAnsi"/>
                <w:b/>
                <w:sz w:val="24"/>
                <w:szCs w:val="24"/>
              </w:rPr>
              <w:t>6</w:t>
            </w:r>
          </w:p>
        </w:tc>
      </w:tr>
      <w:tr w:rsidR="00207415" w:rsidRPr="00233FFD" w:rsidTr="00233FFD">
        <w:trPr>
          <w:trHeight w:val="558"/>
          <w:jc w:val="center"/>
        </w:trPr>
        <w:tc>
          <w:tcPr>
            <w:tcW w:w="5138" w:type="dxa"/>
            <w:shd w:val="clear" w:color="auto" w:fill="C0C0C0"/>
          </w:tcPr>
          <w:p w:rsidR="00207415" w:rsidRPr="00233FFD" w:rsidRDefault="00233FFD" w:rsidP="00153C0D">
            <w:pPr>
              <w:jc w:val="both"/>
              <w:rPr>
                <w:rFonts w:cstheme="minorHAnsi"/>
                <w:b/>
                <w:sz w:val="24"/>
                <w:szCs w:val="24"/>
              </w:rPr>
            </w:pPr>
            <w:r>
              <w:rPr>
                <w:rFonts w:cstheme="minorHAnsi"/>
                <w:b/>
                <w:sz w:val="24"/>
                <w:szCs w:val="24"/>
              </w:rPr>
              <w:t>Prepared by: Rachel Brosnahan</w:t>
            </w:r>
          </w:p>
        </w:tc>
        <w:tc>
          <w:tcPr>
            <w:tcW w:w="3958" w:type="dxa"/>
            <w:shd w:val="clear" w:color="auto" w:fill="C0C0C0"/>
          </w:tcPr>
          <w:p w:rsidR="00207415" w:rsidRPr="00233FFD" w:rsidRDefault="00C02811" w:rsidP="00207415">
            <w:pPr>
              <w:rPr>
                <w:rFonts w:cstheme="minorHAnsi"/>
                <w:b/>
                <w:sz w:val="24"/>
                <w:szCs w:val="24"/>
              </w:rPr>
            </w:pPr>
            <w:r>
              <w:rPr>
                <w:rFonts w:cstheme="minorHAnsi"/>
                <w:b/>
                <w:sz w:val="24"/>
                <w:szCs w:val="24"/>
              </w:rPr>
              <w:t xml:space="preserve">Date of Report: </w:t>
            </w:r>
            <w:r w:rsidR="00705C79">
              <w:rPr>
                <w:rFonts w:cstheme="minorHAnsi"/>
                <w:b/>
                <w:sz w:val="24"/>
                <w:szCs w:val="24"/>
              </w:rPr>
              <w:t>1</w:t>
            </w:r>
            <w:r w:rsidR="00CD5261">
              <w:rPr>
                <w:rFonts w:cstheme="minorHAnsi"/>
                <w:b/>
                <w:sz w:val="24"/>
                <w:szCs w:val="24"/>
              </w:rPr>
              <w:t>6</w:t>
            </w:r>
            <w:r w:rsidR="00CD5261" w:rsidRPr="00CD5261">
              <w:rPr>
                <w:rFonts w:cstheme="minorHAnsi"/>
                <w:b/>
                <w:sz w:val="24"/>
                <w:szCs w:val="24"/>
                <w:vertAlign w:val="superscript"/>
              </w:rPr>
              <w:t>th</w:t>
            </w:r>
            <w:r w:rsidR="00CD5261">
              <w:rPr>
                <w:rFonts w:cstheme="minorHAnsi"/>
                <w:b/>
                <w:sz w:val="24"/>
                <w:szCs w:val="24"/>
              </w:rPr>
              <w:t xml:space="preserve"> May</w:t>
            </w:r>
            <w:r w:rsidR="00705C79">
              <w:rPr>
                <w:rFonts w:cstheme="minorHAnsi"/>
                <w:b/>
                <w:sz w:val="24"/>
                <w:szCs w:val="24"/>
              </w:rPr>
              <w:t xml:space="preserve"> </w:t>
            </w:r>
            <w:r>
              <w:rPr>
                <w:rFonts w:cstheme="minorHAnsi"/>
                <w:b/>
                <w:sz w:val="24"/>
                <w:szCs w:val="24"/>
              </w:rPr>
              <w:t>2018</w:t>
            </w:r>
          </w:p>
        </w:tc>
      </w:tr>
    </w:tbl>
    <w:p w:rsidR="00F706D5" w:rsidRPr="00233FFD" w:rsidRDefault="00F706D5" w:rsidP="00153C0D">
      <w:pPr>
        <w:jc w:val="both"/>
        <w:rPr>
          <w:rFonts w:cstheme="minorHAnsi"/>
          <w:sz w:val="24"/>
          <w:szCs w:val="24"/>
        </w:rPr>
      </w:pPr>
    </w:p>
    <w:p w:rsidR="00FD135A" w:rsidRDefault="00207415" w:rsidP="00153C0D">
      <w:pPr>
        <w:pStyle w:val="ListParagraph"/>
        <w:numPr>
          <w:ilvl w:val="0"/>
          <w:numId w:val="1"/>
        </w:numPr>
        <w:jc w:val="both"/>
        <w:rPr>
          <w:rFonts w:cstheme="minorHAnsi"/>
          <w:b/>
          <w:sz w:val="24"/>
          <w:szCs w:val="24"/>
        </w:rPr>
      </w:pPr>
      <w:r w:rsidRPr="00233FFD">
        <w:rPr>
          <w:rFonts w:cstheme="minorHAnsi"/>
          <w:b/>
          <w:sz w:val="24"/>
          <w:szCs w:val="24"/>
        </w:rPr>
        <w:t xml:space="preserve">Executive </w:t>
      </w:r>
      <w:r w:rsidR="00BC562B" w:rsidRPr="00233FFD">
        <w:rPr>
          <w:rFonts w:cstheme="minorHAnsi"/>
          <w:b/>
          <w:sz w:val="24"/>
          <w:szCs w:val="24"/>
        </w:rPr>
        <w:t>Summary</w:t>
      </w:r>
    </w:p>
    <w:p w:rsidR="00996C8C" w:rsidRDefault="005919CE" w:rsidP="00895057">
      <w:pPr>
        <w:pStyle w:val="ListParagraph"/>
        <w:ind w:left="0"/>
        <w:jc w:val="both"/>
        <w:rPr>
          <w:rFonts w:cs="Calibri"/>
        </w:rPr>
      </w:pPr>
      <w:r>
        <w:rPr>
          <w:rFonts w:cs="Calibri"/>
        </w:rPr>
        <w:t xml:space="preserve">Overall the </w:t>
      </w:r>
      <w:r w:rsidR="000A3288">
        <w:rPr>
          <w:rFonts w:cs="Calibri"/>
        </w:rPr>
        <w:t xml:space="preserve">LGF programme is performing very well.  We have now spent </w:t>
      </w:r>
      <w:r w:rsidR="00A948DF">
        <w:rPr>
          <w:rFonts w:cs="Calibri"/>
        </w:rPr>
        <w:t>over £70</w:t>
      </w:r>
      <w:r w:rsidR="000A3288">
        <w:rPr>
          <w:rFonts w:cs="Calibri"/>
        </w:rPr>
        <w:t>m of LGF in total over the last three years and have £84m to spend over the next three years.</w:t>
      </w:r>
    </w:p>
    <w:p w:rsidR="000A3288" w:rsidRDefault="000A3288" w:rsidP="00895057">
      <w:pPr>
        <w:pStyle w:val="ListParagraph"/>
        <w:ind w:left="0"/>
        <w:jc w:val="both"/>
        <w:rPr>
          <w:rFonts w:cs="Calibri"/>
        </w:rPr>
      </w:pPr>
    </w:p>
    <w:p w:rsidR="000A3288" w:rsidRDefault="000A3288" w:rsidP="00895057">
      <w:pPr>
        <w:pStyle w:val="ListParagraph"/>
        <w:ind w:left="0"/>
        <w:jc w:val="both"/>
        <w:rPr>
          <w:rFonts w:cs="Calibri"/>
        </w:rPr>
      </w:pPr>
      <w:r>
        <w:rPr>
          <w:rFonts w:cs="Calibri"/>
        </w:rPr>
        <w:t>The BEIS LGF profile for 18/19 is £16m.  We expect to spend £20m+- £2m this year.  The additional funding will come from funding carried forward</w:t>
      </w:r>
      <w:r w:rsidR="00A948DF">
        <w:rPr>
          <w:rFonts w:cs="Calibri"/>
        </w:rPr>
        <w:t xml:space="preserve"> from previous years</w:t>
      </w:r>
      <w:r>
        <w:rPr>
          <w:rFonts w:cs="Calibri"/>
        </w:rPr>
        <w:t>.</w:t>
      </w:r>
    </w:p>
    <w:p w:rsidR="000A3288" w:rsidRDefault="000A3288" w:rsidP="00895057">
      <w:pPr>
        <w:pStyle w:val="ListParagraph"/>
        <w:ind w:left="0"/>
        <w:jc w:val="both"/>
        <w:rPr>
          <w:rFonts w:cs="Calibri"/>
        </w:rPr>
      </w:pPr>
    </w:p>
    <w:p w:rsidR="000A3288" w:rsidRDefault="000A3288" w:rsidP="00895057">
      <w:pPr>
        <w:pStyle w:val="ListParagraph"/>
        <w:ind w:left="0"/>
        <w:jc w:val="both"/>
        <w:rPr>
          <w:rFonts w:cs="Calibri"/>
        </w:rPr>
      </w:pPr>
      <w:r>
        <w:rPr>
          <w:rFonts w:cs="Calibri"/>
        </w:rPr>
        <w:t>The outputs contracted look like they will comfortably exceed those expected from BEIS and show the value of the LGF schemes.</w:t>
      </w:r>
    </w:p>
    <w:p w:rsidR="000A3288" w:rsidRDefault="000A3288" w:rsidP="00895057">
      <w:pPr>
        <w:pStyle w:val="ListParagraph"/>
        <w:ind w:left="0"/>
        <w:jc w:val="both"/>
        <w:rPr>
          <w:rFonts w:cs="Calibri"/>
        </w:rPr>
      </w:pPr>
    </w:p>
    <w:p w:rsidR="000A3288" w:rsidRDefault="000A3288" w:rsidP="00895057">
      <w:pPr>
        <w:pStyle w:val="ListParagraph"/>
        <w:ind w:left="0"/>
        <w:jc w:val="both"/>
        <w:rPr>
          <w:rFonts w:cs="Calibri"/>
        </w:rPr>
      </w:pPr>
      <w:r>
        <w:rPr>
          <w:rFonts w:cs="Calibri"/>
        </w:rPr>
        <w:t xml:space="preserve">The delivery risk across the programme is diminishing as </w:t>
      </w:r>
      <w:r w:rsidR="00783492">
        <w:rPr>
          <w:rFonts w:cs="Calibri"/>
        </w:rPr>
        <w:t xml:space="preserve">more projects move into the delivery phase and </w:t>
      </w:r>
      <w:proofErr w:type="gramStart"/>
      <w:r w:rsidR="00783492">
        <w:rPr>
          <w:rFonts w:cs="Calibri"/>
        </w:rPr>
        <w:t>actually start</w:t>
      </w:r>
      <w:proofErr w:type="gramEnd"/>
      <w:r w:rsidR="00783492">
        <w:rPr>
          <w:rFonts w:cs="Calibri"/>
        </w:rPr>
        <w:t xml:space="preserve"> on site.   </w:t>
      </w:r>
      <w:proofErr w:type="gramStart"/>
      <w:r w:rsidR="00783492">
        <w:rPr>
          <w:rFonts w:cs="Calibri"/>
        </w:rPr>
        <w:t>With the exception of</w:t>
      </w:r>
      <w:proofErr w:type="gramEnd"/>
      <w:r w:rsidR="00783492">
        <w:rPr>
          <w:rFonts w:cs="Calibri"/>
        </w:rPr>
        <w:t xml:space="preserve"> the Energy, Skills and Sustainable travel programmes, there are only two projects in the LGF portfolio left to contract, which is a strong position to be in.</w:t>
      </w:r>
    </w:p>
    <w:p w:rsidR="00783492" w:rsidRDefault="00783492" w:rsidP="00895057">
      <w:pPr>
        <w:pStyle w:val="ListParagraph"/>
        <w:ind w:left="0"/>
        <w:jc w:val="both"/>
        <w:rPr>
          <w:rFonts w:cs="Calibri"/>
        </w:rPr>
      </w:pPr>
    </w:p>
    <w:p w:rsidR="00783492" w:rsidRDefault="00783492" w:rsidP="00895057">
      <w:pPr>
        <w:pStyle w:val="ListParagraph"/>
        <w:ind w:left="0"/>
        <w:jc w:val="both"/>
        <w:rPr>
          <w:rFonts w:cs="Calibri"/>
        </w:rPr>
      </w:pPr>
      <w:r>
        <w:rPr>
          <w:rFonts w:cs="Calibri"/>
        </w:rPr>
        <w:t xml:space="preserve">There is continued interest in the Growing Places Fund (GPF), </w:t>
      </w:r>
      <w:r w:rsidR="002A37BA">
        <w:rPr>
          <w:rFonts w:cs="Calibri"/>
        </w:rPr>
        <w:t>with two applications currently under development</w:t>
      </w:r>
      <w:r w:rsidR="0068451D">
        <w:rPr>
          <w:rFonts w:cs="Calibri"/>
        </w:rPr>
        <w:t>.  T</w:t>
      </w:r>
      <w:r>
        <w:rPr>
          <w:rFonts w:cs="Calibri"/>
        </w:rPr>
        <w:t xml:space="preserve">he only </w:t>
      </w:r>
      <w:r w:rsidR="00795022">
        <w:rPr>
          <w:rFonts w:cs="Calibri"/>
        </w:rPr>
        <w:t xml:space="preserve">live </w:t>
      </w:r>
      <w:r>
        <w:rPr>
          <w:rFonts w:cs="Calibri"/>
        </w:rPr>
        <w:t>loan we</w:t>
      </w:r>
      <w:r w:rsidR="00795022">
        <w:rPr>
          <w:rFonts w:cs="Calibri"/>
        </w:rPr>
        <w:t xml:space="preserve"> currently</w:t>
      </w:r>
      <w:r>
        <w:rPr>
          <w:rFonts w:cs="Calibri"/>
        </w:rPr>
        <w:t xml:space="preserve"> have </w:t>
      </w:r>
      <w:r w:rsidR="00795022">
        <w:rPr>
          <w:rFonts w:cs="Calibri"/>
        </w:rPr>
        <w:t xml:space="preserve">is </w:t>
      </w:r>
      <w:r>
        <w:rPr>
          <w:rFonts w:cs="Calibri"/>
        </w:rPr>
        <w:t>performing in line with expectation.</w:t>
      </w:r>
    </w:p>
    <w:p w:rsidR="000A3288" w:rsidRDefault="000A3288" w:rsidP="00895057">
      <w:pPr>
        <w:pStyle w:val="ListParagraph"/>
        <w:ind w:left="0"/>
        <w:jc w:val="both"/>
        <w:rPr>
          <w:rFonts w:cs="Calibri"/>
        </w:rPr>
      </w:pPr>
    </w:p>
    <w:p w:rsidR="000A3288" w:rsidRDefault="000A3288" w:rsidP="00895057">
      <w:pPr>
        <w:pStyle w:val="ListParagraph"/>
        <w:ind w:left="0"/>
        <w:jc w:val="both"/>
        <w:rPr>
          <w:rFonts w:cs="Calibri"/>
        </w:rPr>
      </w:pPr>
    </w:p>
    <w:p w:rsidR="00996C8C" w:rsidRDefault="00996C8C" w:rsidP="00895057">
      <w:pPr>
        <w:pStyle w:val="ListParagraph"/>
        <w:numPr>
          <w:ilvl w:val="0"/>
          <w:numId w:val="21"/>
        </w:numPr>
        <w:spacing w:line="254" w:lineRule="auto"/>
        <w:ind w:left="0" w:firstLine="0"/>
        <w:jc w:val="both"/>
        <w:rPr>
          <w:rFonts w:cs="Calibri"/>
          <w:b/>
        </w:rPr>
      </w:pPr>
      <w:r>
        <w:rPr>
          <w:rFonts w:cs="Calibri"/>
          <w:b/>
        </w:rPr>
        <w:t xml:space="preserve">Local Growth Fund </w:t>
      </w:r>
      <w:r w:rsidR="0068451D">
        <w:rPr>
          <w:rFonts w:cs="Calibri"/>
          <w:b/>
        </w:rPr>
        <w:t>update</w:t>
      </w:r>
    </w:p>
    <w:p w:rsidR="00996C8C" w:rsidRDefault="00996C8C" w:rsidP="00895057">
      <w:pPr>
        <w:pStyle w:val="ListParagraph"/>
        <w:numPr>
          <w:ilvl w:val="1"/>
          <w:numId w:val="21"/>
        </w:numPr>
        <w:spacing w:line="254" w:lineRule="auto"/>
        <w:ind w:left="0" w:firstLine="0"/>
        <w:jc w:val="both"/>
        <w:rPr>
          <w:rFonts w:cs="Calibri"/>
          <w:b/>
        </w:rPr>
      </w:pPr>
      <w:r>
        <w:rPr>
          <w:rFonts w:cs="Calibri"/>
          <w:b/>
        </w:rPr>
        <w:t xml:space="preserve">Sydney Road Bridge </w:t>
      </w:r>
    </w:p>
    <w:p w:rsidR="00895057" w:rsidRDefault="00CD5261" w:rsidP="00895057">
      <w:pPr>
        <w:spacing w:line="254" w:lineRule="auto"/>
        <w:jc w:val="both"/>
        <w:rPr>
          <w:rFonts w:cs="Calibri"/>
        </w:rPr>
      </w:pPr>
      <w:r>
        <w:rPr>
          <w:rFonts w:cs="Calibri"/>
        </w:rPr>
        <w:t>The final business case has been received and final grant approval is sought which is covered in a separate paper.</w:t>
      </w:r>
    </w:p>
    <w:p w:rsidR="00783492" w:rsidRDefault="00783492" w:rsidP="00895057">
      <w:pPr>
        <w:spacing w:line="254" w:lineRule="auto"/>
        <w:jc w:val="both"/>
        <w:rPr>
          <w:rFonts w:cs="Calibri"/>
        </w:rPr>
      </w:pPr>
      <w:r>
        <w:rPr>
          <w:rFonts w:cs="Calibri"/>
        </w:rPr>
        <w:t>Work to establish the site compound has now started and work to divert the electricity cable will start in the next few weeks.</w:t>
      </w:r>
    </w:p>
    <w:p w:rsidR="00DC309B" w:rsidRDefault="00DC309B" w:rsidP="00895057">
      <w:pPr>
        <w:numPr>
          <w:ilvl w:val="1"/>
          <w:numId w:val="21"/>
        </w:numPr>
        <w:spacing w:after="200" w:line="276" w:lineRule="auto"/>
        <w:ind w:left="0" w:firstLine="0"/>
        <w:jc w:val="both"/>
        <w:rPr>
          <w:rFonts w:cs="Calibri"/>
          <w:b/>
        </w:rPr>
      </w:pPr>
      <w:r>
        <w:rPr>
          <w:rFonts w:cs="Calibri"/>
          <w:b/>
        </w:rPr>
        <w:t>Crewe Green Roundabout</w:t>
      </w:r>
    </w:p>
    <w:p w:rsidR="00795022" w:rsidRDefault="00783492" w:rsidP="00795022">
      <w:pPr>
        <w:spacing w:after="200" w:line="276" w:lineRule="auto"/>
        <w:jc w:val="both"/>
        <w:rPr>
          <w:rFonts w:cs="Calibri"/>
        </w:rPr>
      </w:pPr>
      <w:r>
        <w:rPr>
          <w:rFonts w:cs="Calibri"/>
        </w:rPr>
        <w:t xml:space="preserve">The project is going well, with some traffic </w:t>
      </w:r>
      <w:r w:rsidR="0038512E">
        <w:rPr>
          <w:rFonts w:cs="Calibri"/>
        </w:rPr>
        <w:t>management now lifted and easing traffic congestion.  Phase 3 works will start on the 17</w:t>
      </w:r>
      <w:r w:rsidR="0038512E" w:rsidRPr="0038512E">
        <w:rPr>
          <w:rFonts w:cs="Calibri"/>
          <w:vertAlign w:val="superscript"/>
        </w:rPr>
        <w:t>th</w:t>
      </w:r>
      <w:r w:rsidR="0038512E">
        <w:rPr>
          <w:rFonts w:cs="Calibri"/>
        </w:rPr>
        <w:t xml:space="preserve"> July and will </w:t>
      </w:r>
      <w:proofErr w:type="gramStart"/>
      <w:r w:rsidR="0038512E">
        <w:rPr>
          <w:rFonts w:cs="Calibri"/>
        </w:rPr>
        <w:t>open up</w:t>
      </w:r>
      <w:proofErr w:type="gramEnd"/>
      <w:r w:rsidR="0038512E">
        <w:rPr>
          <w:rFonts w:cs="Calibri"/>
        </w:rPr>
        <w:t xml:space="preserve"> the scheme on the North side.  </w:t>
      </w:r>
      <w:r w:rsidR="0068451D">
        <w:rPr>
          <w:rFonts w:cs="Calibri"/>
        </w:rPr>
        <w:t>The s</w:t>
      </w:r>
      <w:r w:rsidR="0038512E">
        <w:rPr>
          <w:rFonts w:cs="Calibri"/>
        </w:rPr>
        <w:t>cheme still on track to finish in November.</w:t>
      </w:r>
    </w:p>
    <w:p w:rsidR="00795022" w:rsidRDefault="00795022" w:rsidP="00795022">
      <w:pPr>
        <w:spacing w:after="200" w:line="276" w:lineRule="auto"/>
        <w:jc w:val="both"/>
        <w:rPr>
          <w:rFonts w:cs="Calibri"/>
        </w:rPr>
      </w:pPr>
    </w:p>
    <w:p w:rsidR="00795022" w:rsidRDefault="00795022" w:rsidP="00795022">
      <w:pPr>
        <w:spacing w:after="200" w:line="276" w:lineRule="auto"/>
        <w:jc w:val="both"/>
        <w:rPr>
          <w:rFonts w:cs="Calibri"/>
        </w:rPr>
      </w:pPr>
    </w:p>
    <w:p w:rsidR="00996C8C" w:rsidRPr="00795022" w:rsidRDefault="00996C8C" w:rsidP="00795022">
      <w:pPr>
        <w:pStyle w:val="ListParagraph"/>
        <w:numPr>
          <w:ilvl w:val="1"/>
          <w:numId w:val="21"/>
        </w:numPr>
        <w:spacing w:after="200" w:line="276" w:lineRule="auto"/>
        <w:ind w:hanging="792"/>
        <w:jc w:val="both"/>
        <w:rPr>
          <w:rFonts w:cs="Calibri"/>
          <w:b/>
        </w:rPr>
      </w:pPr>
      <w:r w:rsidRPr="00795022">
        <w:rPr>
          <w:rFonts w:cs="Calibri"/>
          <w:b/>
        </w:rPr>
        <w:lastRenderedPageBreak/>
        <w:t xml:space="preserve">Warrington Centre Park Link </w:t>
      </w:r>
    </w:p>
    <w:p w:rsidR="0038512E" w:rsidRPr="00B91BDF" w:rsidRDefault="0038512E" w:rsidP="00795022">
      <w:pPr>
        <w:spacing w:line="254" w:lineRule="auto"/>
        <w:jc w:val="both"/>
        <w:rPr>
          <w:rFonts w:cs="Calibri"/>
        </w:rPr>
      </w:pPr>
      <w:r w:rsidRPr="00B91BDF">
        <w:rPr>
          <w:rFonts w:cs="Calibri"/>
        </w:rPr>
        <w:t xml:space="preserve">Land issues remain </w:t>
      </w:r>
      <w:proofErr w:type="gramStart"/>
      <w:r w:rsidRPr="00B91BDF">
        <w:rPr>
          <w:rFonts w:cs="Calibri"/>
        </w:rPr>
        <w:t>unresolved</w:t>
      </w:r>
      <w:proofErr w:type="gramEnd"/>
      <w:r w:rsidRPr="00B91BDF">
        <w:rPr>
          <w:rFonts w:cs="Calibri"/>
        </w:rPr>
        <w:t xml:space="preserve"> but negotiations are progressing with the two land owners. </w:t>
      </w:r>
      <w:r w:rsidR="00B91BDF" w:rsidRPr="00B91BDF">
        <w:rPr>
          <w:rFonts w:cs="Calibri"/>
        </w:rPr>
        <w:t>The Compulsory Purchase Order is the fall</w:t>
      </w:r>
      <w:r w:rsidR="00B91BDF">
        <w:rPr>
          <w:rFonts w:cs="Calibri"/>
        </w:rPr>
        <w:t>-</w:t>
      </w:r>
      <w:r w:rsidR="00B91BDF" w:rsidRPr="00B91BDF">
        <w:rPr>
          <w:rFonts w:cs="Calibri"/>
        </w:rPr>
        <w:t>back position and will need to be used for the unregistered rights.</w:t>
      </w:r>
    </w:p>
    <w:p w:rsidR="00B91BDF" w:rsidRDefault="00B91BDF" w:rsidP="00795022">
      <w:pPr>
        <w:spacing w:line="254" w:lineRule="auto"/>
        <w:jc w:val="both"/>
        <w:rPr>
          <w:rFonts w:cs="Calibri"/>
        </w:rPr>
      </w:pPr>
      <w:r w:rsidRPr="00B91BDF">
        <w:rPr>
          <w:rFonts w:cs="Calibri"/>
        </w:rPr>
        <w:t>Due to the delays with resolving the land ownership issues, we don’t expect the final business case to be submitted until October.</w:t>
      </w:r>
    </w:p>
    <w:p w:rsidR="00904B01" w:rsidRPr="00B91BDF" w:rsidRDefault="00904B01" w:rsidP="00795022">
      <w:pPr>
        <w:spacing w:line="254" w:lineRule="auto"/>
        <w:jc w:val="both"/>
        <w:rPr>
          <w:rFonts w:cs="Calibri"/>
        </w:rPr>
      </w:pPr>
      <w:r>
        <w:rPr>
          <w:rFonts w:cs="Calibri"/>
        </w:rPr>
        <w:t xml:space="preserve">The conditional offer letter has expired.  </w:t>
      </w:r>
      <w:r w:rsidRPr="00795022">
        <w:rPr>
          <w:rFonts w:cs="Calibri"/>
          <w:b/>
        </w:rPr>
        <w:t xml:space="preserve">The P&amp;I are requested to extend the deadline for meeting the conditions of the offer letter until December </w:t>
      </w:r>
      <w:r w:rsidR="000263DE" w:rsidRPr="00795022">
        <w:rPr>
          <w:rFonts w:cs="Calibri"/>
          <w:b/>
        </w:rPr>
        <w:t>2018.</w:t>
      </w:r>
    </w:p>
    <w:p w:rsidR="00996C8C" w:rsidRDefault="00996C8C" w:rsidP="00203E3D">
      <w:pPr>
        <w:pStyle w:val="ListParagraph"/>
        <w:numPr>
          <w:ilvl w:val="1"/>
          <w:numId w:val="21"/>
        </w:numPr>
        <w:spacing w:line="254" w:lineRule="auto"/>
        <w:ind w:hanging="792"/>
        <w:jc w:val="both"/>
        <w:rPr>
          <w:rFonts w:cs="Calibri"/>
          <w:b/>
        </w:rPr>
      </w:pPr>
      <w:r>
        <w:rPr>
          <w:rFonts w:cs="Calibri"/>
          <w:b/>
        </w:rPr>
        <w:t>Warrington West Station</w:t>
      </w:r>
    </w:p>
    <w:p w:rsidR="0068451D" w:rsidRDefault="004A1C27" w:rsidP="004A1C27">
      <w:pPr>
        <w:spacing w:line="254" w:lineRule="auto"/>
        <w:jc w:val="both"/>
        <w:rPr>
          <w:rFonts w:cs="Calibri"/>
        </w:rPr>
      </w:pPr>
      <w:r>
        <w:rPr>
          <w:rFonts w:cs="Calibri"/>
        </w:rPr>
        <w:t xml:space="preserve">The project continues to have some issues with getting the necessary approvals and blockades from Network rail </w:t>
      </w:r>
      <w:r w:rsidR="00B91BDF">
        <w:rPr>
          <w:rFonts w:cs="Calibri"/>
        </w:rPr>
        <w:t xml:space="preserve">to carry out the track side and bridge works.  </w:t>
      </w:r>
    </w:p>
    <w:p w:rsidR="004A1C27" w:rsidRPr="004A1C27" w:rsidRDefault="00B91BDF" w:rsidP="004A1C27">
      <w:pPr>
        <w:spacing w:line="254" w:lineRule="auto"/>
        <w:jc w:val="both"/>
        <w:rPr>
          <w:rFonts w:cs="Calibri"/>
        </w:rPr>
      </w:pPr>
      <w:r>
        <w:rPr>
          <w:rFonts w:cs="Calibri"/>
        </w:rPr>
        <w:t>Great progress has been made with levelling the site for the car park and starting work on the foundations for the station building.  However, due to the delays with the project, further work on the station building, may be pushed back to align the completion with the track side works, otherwise there will be additional costs associated with securing the completed building until the rest of the scheme is complete and the risk of damage in the intervening period.</w:t>
      </w:r>
    </w:p>
    <w:p w:rsidR="004C0AF3" w:rsidRDefault="004C0AF3" w:rsidP="00203E3D">
      <w:pPr>
        <w:pStyle w:val="ListParagraph"/>
        <w:numPr>
          <w:ilvl w:val="1"/>
          <w:numId w:val="21"/>
        </w:numPr>
        <w:spacing w:line="254" w:lineRule="auto"/>
        <w:ind w:hanging="792"/>
        <w:jc w:val="both"/>
        <w:rPr>
          <w:rFonts w:cs="Calibri"/>
          <w:b/>
        </w:rPr>
      </w:pPr>
      <w:r>
        <w:rPr>
          <w:rFonts w:cs="Calibri"/>
          <w:b/>
        </w:rPr>
        <w:t>M62 j8</w:t>
      </w:r>
    </w:p>
    <w:p w:rsidR="00720AD4" w:rsidRPr="004A1C27" w:rsidRDefault="004A1C27" w:rsidP="004A1C27">
      <w:pPr>
        <w:spacing w:line="254" w:lineRule="auto"/>
        <w:jc w:val="both"/>
        <w:rPr>
          <w:rFonts w:cs="Calibri"/>
        </w:rPr>
      </w:pPr>
      <w:r w:rsidRPr="004A1C27">
        <w:rPr>
          <w:rFonts w:cs="Calibri"/>
        </w:rPr>
        <w:t xml:space="preserve">The project </w:t>
      </w:r>
      <w:r w:rsidR="00A2296F">
        <w:rPr>
          <w:rFonts w:cs="Calibri"/>
        </w:rPr>
        <w:t>is due to complete week commencing 14</w:t>
      </w:r>
      <w:r w:rsidR="00A2296F" w:rsidRPr="00A2296F">
        <w:rPr>
          <w:rFonts w:cs="Calibri"/>
          <w:vertAlign w:val="superscript"/>
        </w:rPr>
        <w:t>th</w:t>
      </w:r>
      <w:r w:rsidR="00A2296F">
        <w:rPr>
          <w:rFonts w:cs="Calibri"/>
        </w:rPr>
        <w:t xml:space="preserve"> May and under budget which is a great credit to the team at the Council and Balfour Beatty.  A small event to celebrate the completion of the project will be organised for June.</w:t>
      </w:r>
    </w:p>
    <w:p w:rsidR="00BF5044" w:rsidRPr="00720AD4" w:rsidRDefault="00996C8C" w:rsidP="00203E3D">
      <w:pPr>
        <w:pStyle w:val="ListParagraph"/>
        <w:numPr>
          <w:ilvl w:val="1"/>
          <w:numId w:val="21"/>
        </w:numPr>
        <w:spacing w:line="254" w:lineRule="auto"/>
        <w:ind w:hanging="792"/>
        <w:jc w:val="both"/>
        <w:rPr>
          <w:rFonts w:cs="Calibri"/>
          <w:b/>
        </w:rPr>
      </w:pPr>
      <w:r>
        <w:rPr>
          <w:rFonts w:cs="Calibri"/>
          <w:b/>
        </w:rPr>
        <w:t>Reaseheath College projects</w:t>
      </w:r>
    </w:p>
    <w:p w:rsidR="00BF5044" w:rsidRPr="00A5399E" w:rsidRDefault="00A5399E" w:rsidP="0068451D">
      <w:pPr>
        <w:pStyle w:val="Default"/>
        <w:jc w:val="both"/>
        <w:rPr>
          <w:sz w:val="22"/>
          <w:szCs w:val="22"/>
        </w:rPr>
      </w:pPr>
      <w:r>
        <w:rPr>
          <w:sz w:val="22"/>
          <w:szCs w:val="22"/>
        </w:rPr>
        <w:t>All but the accommodation blocks are nearing completion.  The sports hall and Agri-tech building are running six weeks behind, partly due to the weather and partly due to the window contractor going into administration.  However</w:t>
      </w:r>
      <w:r w:rsidR="0068451D">
        <w:rPr>
          <w:sz w:val="22"/>
          <w:szCs w:val="22"/>
        </w:rPr>
        <w:t>,</w:t>
      </w:r>
      <w:r>
        <w:rPr>
          <w:sz w:val="22"/>
          <w:szCs w:val="22"/>
        </w:rPr>
        <w:t xml:space="preserve"> overall excellent progress is being made with all the schemes.  All facilities will be fully operationa</w:t>
      </w:r>
      <w:r w:rsidR="0068451D">
        <w:rPr>
          <w:sz w:val="22"/>
          <w:szCs w:val="22"/>
        </w:rPr>
        <w:t>l and</w:t>
      </w:r>
      <w:r>
        <w:rPr>
          <w:sz w:val="22"/>
          <w:szCs w:val="22"/>
        </w:rPr>
        <w:t xml:space="preserve"> used by students in September apart from </w:t>
      </w:r>
      <w:r w:rsidR="0068451D">
        <w:rPr>
          <w:sz w:val="22"/>
          <w:szCs w:val="22"/>
        </w:rPr>
        <w:t>two</w:t>
      </w:r>
      <w:r>
        <w:rPr>
          <w:sz w:val="22"/>
          <w:szCs w:val="22"/>
        </w:rPr>
        <w:t xml:space="preserve"> of the accommodation blocks which will be complete by Christmas.</w:t>
      </w:r>
    </w:p>
    <w:p w:rsidR="00BF5044" w:rsidRPr="00BF5044" w:rsidRDefault="00BF5044" w:rsidP="00A5399E">
      <w:pPr>
        <w:spacing w:line="254" w:lineRule="auto"/>
        <w:rPr>
          <w:rFonts w:cs="Calibri"/>
          <w:b/>
        </w:rPr>
      </w:pPr>
    </w:p>
    <w:p w:rsidR="00996C8C" w:rsidRDefault="00996C8C" w:rsidP="00203E3D">
      <w:pPr>
        <w:pStyle w:val="ListParagraph"/>
        <w:numPr>
          <w:ilvl w:val="1"/>
          <w:numId w:val="21"/>
        </w:numPr>
        <w:spacing w:line="254" w:lineRule="auto"/>
        <w:ind w:hanging="792"/>
        <w:jc w:val="both"/>
        <w:rPr>
          <w:rFonts w:cs="Calibri"/>
          <w:b/>
        </w:rPr>
      </w:pPr>
      <w:r>
        <w:rPr>
          <w:rFonts w:cs="Calibri"/>
          <w:b/>
        </w:rPr>
        <w:t>Ellesmere Port Central Development Zone</w:t>
      </w:r>
    </w:p>
    <w:p w:rsidR="00E200B7" w:rsidRPr="00E200B7" w:rsidRDefault="00A5399E" w:rsidP="00895057">
      <w:pPr>
        <w:spacing w:line="254" w:lineRule="auto"/>
        <w:jc w:val="both"/>
        <w:rPr>
          <w:rFonts w:cs="Calibri"/>
        </w:rPr>
      </w:pPr>
      <w:r>
        <w:rPr>
          <w:rFonts w:cs="Calibri"/>
        </w:rPr>
        <w:t xml:space="preserve">The </w:t>
      </w:r>
      <w:r w:rsidR="00E200B7" w:rsidRPr="00E200B7">
        <w:rPr>
          <w:rFonts w:cs="Calibri"/>
        </w:rPr>
        <w:t>Outline business case has been completed</w:t>
      </w:r>
      <w:r>
        <w:rPr>
          <w:rFonts w:cs="Calibri"/>
        </w:rPr>
        <w:t xml:space="preserve"> has</w:t>
      </w:r>
      <w:r w:rsidR="00E200B7" w:rsidRPr="00E200B7">
        <w:rPr>
          <w:rFonts w:cs="Calibri"/>
        </w:rPr>
        <w:t xml:space="preserve"> be</w:t>
      </w:r>
      <w:r>
        <w:rPr>
          <w:rFonts w:cs="Calibri"/>
        </w:rPr>
        <w:t>en</w:t>
      </w:r>
      <w:r w:rsidR="00E200B7" w:rsidRPr="00E200B7">
        <w:rPr>
          <w:rFonts w:cs="Calibri"/>
        </w:rPr>
        <w:t xml:space="preserve"> independently appraised.</w:t>
      </w:r>
      <w:r>
        <w:rPr>
          <w:rFonts w:cs="Calibri"/>
        </w:rPr>
        <w:t xml:space="preserve">  A report is due to be submitted to the June P&amp;I meeting.</w:t>
      </w:r>
    </w:p>
    <w:p w:rsidR="004A1C27" w:rsidRDefault="004A1C27" w:rsidP="00996C8C">
      <w:pPr>
        <w:pStyle w:val="NoSpacing"/>
        <w:jc w:val="both"/>
      </w:pPr>
    </w:p>
    <w:p w:rsidR="000B58EB" w:rsidRDefault="007C1716" w:rsidP="00203E3D">
      <w:pPr>
        <w:pStyle w:val="NoSpacing"/>
        <w:numPr>
          <w:ilvl w:val="1"/>
          <w:numId w:val="21"/>
        </w:numPr>
        <w:tabs>
          <w:tab w:val="left" w:pos="900"/>
        </w:tabs>
        <w:ind w:left="810" w:hanging="810"/>
        <w:jc w:val="both"/>
        <w:rPr>
          <w:b/>
        </w:rPr>
      </w:pPr>
      <w:r>
        <w:rPr>
          <w:b/>
        </w:rPr>
        <w:t>Thornton Energy Demonstrator</w:t>
      </w:r>
    </w:p>
    <w:p w:rsidR="00D8301B" w:rsidRPr="00D8301B" w:rsidRDefault="00D8301B" w:rsidP="00D8301B">
      <w:pPr>
        <w:pStyle w:val="NoSpacing"/>
        <w:tabs>
          <w:tab w:val="left" w:pos="900"/>
        </w:tabs>
        <w:jc w:val="both"/>
      </w:pPr>
      <w:r w:rsidRPr="00D8301B">
        <w:t>The LEP has been working with a company that is interested in locating a pilot carbon fibre recycling facility at Thornton.  No further update on interest in the energy demonstrator.</w:t>
      </w:r>
    </w:p>
    <w:p w:rsidR="00D8301B" w:rsidRPr="004A1C27" w:rsidRDefault="00D8301B" w:rsidP="00D8301B">
      <w:pPr>
        <w:pStyle w:val="NoSpacing"/>
        <w:tabs>
          <w:tab w:val="left" w:pos="900"/>
        </w:tabs>
        <w:jc w:val="both"/>
        <w:rPr>
          <w:b/>
        </w:rPr>
      </w:pPr>
    </w:p>
    <w:p w:rsidR="008447F5" w:rsidRDefault="008447F5" w:rsidP="00203E3D">
      <w:pPr>
        <w:pStyle w:val="ListParagraph"/>
        <w:numPr>
          <w:ilvl w:val="1"/>
          <w:numId w:val="21"/>
        </w:numPr>
        <w:ind w:hanging="792"/>
        <w:rPr>
          <w:b/>
        </w:rPr>
      </w:pPr>
      <w:r>
        <w:rPr>
          <w:b/>
        </w:rPr>
        <w:t>Ellesmere Port and Chester campus redevelopment</w:t>
      </w:r>
    </w:p>
    <w:p w:rsidR="008447F5" w:rsidRDefault="008447F5" w:rsidP="0068451D">
      <w:pPr>
        <w:jc w:val="both"/>
      </w:pPr>
      <w:r w:rsidRPr="008447F5">
        <w:t>Willmott Dixon will start delivery of the main works next month, which will involve moving equipment between the Ellesmere Port and Chester Campuses, and reconfiguration of the classrooms.</w:t>
      </w:r>
    </w:p>
    <w:p w:rsidR="00795022" w:rsidRDefault="00795022" w:rsidP="008447F5"/>
    <w:p w:rsidR="0068451D" w:rsidRPr="008447F5" w:rsidRDefault="0068451D" w:rsidP="008447F5"/>
    <w:p w:rsidR="008447F5" w:rsidRDefault="008447F5" w:rsidP="00203E3D">
      <w:pPr>
        <w:pStyle w:val="ListParagraph"/>
        <w:numPr>
          <w:ilvl w:val="1"/>
          <w:numId w:val="21"/>
        </w:numPr>
        <w:ind w:hanging="792"/>
        <w:rPr>
          <w:b/>
        </w:rPr>
      </w:pPr>
      <w:r>
        <w:rPr>
          <w:b/>
        </w:rPr>
        <w:lastRenderedPageBreak/>
        <w:t>Poynton Relief Road</w:t>
      </w:r>
    </w:p>
    <w:p w:rsidR="008447F5" w:rsidRPr="008447F5" w:rsidRDefault="008447F5" w:rsidP="008447F5">
      <w:r>
        <w:t>The Council is p</w:t>
      </w:r>
      <w:r w:rsidRPr="008447F5">
        <w:t xml:space="preserve">rogressing </w:t>
      </w:r>
      <w:r>
        <w:t xml:space="preserve">the </w:t>
      </w:r>
      <w:r w:rsidRPr="008447F5">
        <w:t xml:space="preserve">legal agreement with </w:t>
      </w:r>
      <w:r w:rsidR="0068451D">
        <w:t xml:space="preserve">the </w:t>
      </w:r>
      <w:r w:rsidRPr="008447F5">
        <w:t xml:space="preserve">golf centre. CPO notices </w:t>
      </w:r>
      <w:r>
        <w:t xml:space="preserve">have been </w:t>
      </w:r>
      <w:r w:rsidRPr="008447F5">
        <w:t xml:space="preserve">served. </w:t>
      </w:r>
      <w:r>
        <w:t xml:space="preserve">Work is </w:t>
      </w:r>
      <w:proofErr w:type="gramStart"/>
      <w:r>
        <w:t>continuing on</w:t>
      </w:r>
      <w:proofErr w:type="gramEnd"/>
      <w:r>
        <w:t xml:space="preserve"> r</w:t>
      </w:r>
      <w:r w:rsidRPr="008447F5">
        <w:t>esolving objections and</w:t>
      </w:r>
      <w:r>
        <w:t xml:space="preserve"> </w:t>
      </w:r>
      <w:r w:rsidRPr="008447F5">
        <w:t xml:space="preserve">preparing for public inquiry anticipated for </w:t>
      </w:r>
      <w:r>
        <w:t>J</w:t>
      </w:r>
      <w:r w:rsidRPr="008447F5">
        <w:t>une 2019. Updat</w:t>
      </w:r>
      <w:r w:rsidR="0068451D">
        <w:t>ing the</w:t>
      </w:r>
      <w:r w:rsidRPr="008447F5">
        <w:t xml:space="preserve"> business case</w:t>
      </w:r>
      <w:r w:rsidR="0068451D">
        <w:t xml:space="preserve"> is</w:t>
      </w:r>
      <w:r w:rsidRPr="008447F5">
        <w:t xml:space="preserve"> ongoing.</w:t>
      </w:r>
    </w:p>
    <w:p w:rsidR="004A1C27" w:rsidRPr="004A1C27" w:rsidRDefault="004A1C27" w:rsidP="00203E3D">
      <w:pPr>
        <w:pStyle w:val="ListParagraph"/>
        <w:numPr>
          <w:ilvl w:val="1"/>
          <w:numId w:val="21"/>
        </w:numPr>
        <w:ind w:hanging="792"/>
        <w:rPr>
          <w:b/>
        </w:rPr>
      </w:pPr>
      <w:r w:rsidRPr="004A1C27">
        <w:rPr>
          <w:b/>
        </w:rPr>
        <w:t>Life Sciences Fund</w:t>
      </w:r>
    </w:p>
    <w:p w:rsidR="004A1C27" w:rsidRPr="000B58EB" w:rsidRDefault="004A1C27" w:rsidP="004A1C27">
      <w:r>
        <w:t>The Life sciences fund is continuing to invest at a steady rate.  It is pleasing to see enquiries at the lower end of the investment scale.  There are three businesses with investment committee</w:t>
      </w:r>
      <w:r w:rsidR="00895057">
        <w:t xml:space="preserve"> approval which are a mix of sizes, including one of £100k.  The fund expects to invest £7m this year and is working towards the revised outputs put forward in their business plan.</w:t>
      </w:r>
    </w:p>
    <w:p w:rsidR="00FE212C" w:rsidRDefault="00FE212C" w:rsidP="0068451D">
      <w:pPr>
        <w:pStyle w:val="ListParagraph"/>
        <w:numPr>
          <w:ilvl w:val="1"/>
          <w:numId w:val="21"/>
        </w:numPr>
        <w:spacing w:line="254" w:lineRule="auto"/>
        <w:ind w:hanging="792"/>
        <w:jc w:val="both"/>
        <w:rPr>
          <w:rFonts w:cs="Calibri"/>
          <w:b/>
        </w:rPr>
      </w:pPr>
      <w:r>
        <w:rPr>
          <w:rFonts w:cs="Calibri"/>
          <w:b/>
        </w:rPr>
        <w:t>Crewe High Speed Ready Heart</w:t>
      </w:r>
    </w:p>
    <w:p w:rsidR="00D8301B" w:rsidRDefault="00D8301B" w:rsidP="00D8301B">
      <w:pPr>
        <w:spacing w:line="254" w:lineRule="auto"/>
        <w:jc w:val="both"/>
        <w:rPr>
          <w:rFonts w:cs="Calibri"/>
        </w:rPr>
      </w:pPr>
      <w:r w:rsidRPr="00D8301B">
        <w:rPr>
          <w:rFonts w:cs="Calibri"/>
        </w:rPr>
        <w:t xml:space="preserve">Work to relocate the market traders is ongoing.  Some traders are refusing to move at </w:t>
      </w:r>
      <w:proofErr w:type="gramStart"/>
      <w:r w:rsidRPr="00D8301B">
        <w:rPr>
          <w:rFonts w:cs="Calibri"/>
        </w:rPr>
        <w:t>present,  three</w:t>
      </w:r>
      <w:proofErr w:type="gramEnd"/>
      <w:r w:rsidRPr="00D8301B">
        <w:rPr>
          <w:rFonts w:cs="Calibri"/>
        </w:rPr>
        <w:t xml:space="preserve"> traders have signed leases for the market sheds.</w:t>
      </w:r>
      <w:r>
        <w:rPr>
          <w:rFonts w:cs="Calibri"/>
        </w:rPr>
        <w:t xml:space="preserve">  Work on the market Hall is expected to start in August.</w:t>
      </w:r>
    </w:p>
    <w:p w:rsidR="00D8301B" w:rsidRPr="00D8301B" w:rsidRDefault="00D8301B" w:rsidP="00D8301B">
      <w:pPr>
        <w:spacing w:line="254" w:lineRule="auto"/>
        <w:jc w:val="both"/>
        <w:rPr>
          <w:rFonts w:cs="Calibri"/>
        </w:rPr>
      </w:pPr>
      <w:r>
        <w:rPr>
          <w:rFonts w:cs="Calibri"/>
        </w:rPr>
        <w:t xml:space="preserve">Public consultation regarding the redevelopment of the </w:t>
      </w:r>
      <w:r w:rsidR="0068451D">
        <w:rPr>
          <w:rFonts w:cs="Calibri"/>
        </w:rPr>
        <w:t>Royal</w:t>
      </w:r>
      <w:r>
        <w:rPr>
          <w:rFonts w:cs="Calibri"/>
        </w:rPr>
        <w:t xml:space="preserve"> </w:t>
      </w:r>
      <w:r w:rsidR="0068451D">
        <w:rPr>
          <w:rFonts w:cs="Calibri"/>
        </w:rPr>
        <w:t>A</w:t>
      </w:r>
      <w:r>
        <w:rPr>
          <w:rFonts w:cs="Calibri"/>
        </w:rPr>
        <w:t>rcade will take place over summer.  Still on track to submit planning application in September.</w:t>
      </w:r>
    </w:p>
    <w:p w:rsidR="00996C8C" w:rsidRPr="008978AD" w:rsidRDefault="00996C8C" w:rsidP="0068451D">
      <w:pPr>
        <w:pStyle w:val="ListParagraph"/>
        <w:numPr>
          <w:ilvl w:val="1"/>
          <w:numId w:val="21"/>
        </w:numPr>
        <w:spacing w:line="254" w:lineRule="auto"/>
        <w:ind w:hanging="792"/>
        <w:jc w:val="both"/>
        <w:rPr>
          <w:rFonts w:cs="Calibri"/>
          <w:b/>
        </w:rPr>
      </w:pPr>
      <w:r>
        <w:rPr>
          <w:rFonts w:eastAsia="Times New Roman" w:cs="Calibri"/>
          <w:b/>
          <w:color w:val="000000"/>
          <w:lang w:eastAsia="en-GB"/>
        </w:rPr>
        <w:t xml:space="preserve">Unlocking Winsford Industrial </w:t>
      </w:r>
      <w:r w:rsidR="00645DD1">
        <w:rPr>
          <w:rFonts w:eastAsia="Times New Roman" w:cs="Calibri"/>
          <w:b/>
          <w:color w:val="000000"/>
          <w:lang w:eastAsia="en-GB"/>
        </w:rPr>
        <w:t>Expansion</w:t>
      </w:r>
      <w:r>
        <w:rPr>
          <w:rFonts w:eastAsia="Times New Roman" w:cs="Calibri"/>
          <w:b/>
          <w:color w:val="000000"/>
          <w:lang w:eastAsia="en-GB"/>
        </w:rPr>
        <w:t xml:space="preserve"> Land</w:t>
      </w:r>
    </w:p>
    <w:p w:rsidR="008978AD" w:rsidRPr="008978AD" w:rsidRDefault="008978AD" w:rsidP="008978AD">
      <w:pPr>
        <w:spacing w:line="254" w:lineRule="auto"/>
        <w:jc w:val="both"/>
        <w:rPr>
          <w:rFonts w:cs="Calibri"/>
        </w:rPr>
      </w:pPr>
      <w:r w:rsidRPr="008978AD">
        <w:rPr>
          <w:rFonts w:cs="Calibri"/>
        </w:rPr>
        <w:t>The unconditional sale of land to Tiger Trailers completed at the beginning of April.  Early enabling works and Scottish Power diversionary works have started on site.</w:t>
      </w:r>
    </w:p>
    <w:p w:rsidR="008978AD" w:rsidRPr="008978AD" w:rsidRDefault="008978AD" w:rsidP="008978AD">
      <w:pPr>
        <w:spacing w:line="254" w:lineRule="auto"/>
        <w:jc w:val="both"/>
        <w:rPr>
          <w:rFonts w:cs="Calibri"/>
        </w:rPr>
      </w:pPr>
      <w:proofErr w:type="gramStart"/>
      <w:r w:rsidRPr="008978AD">
        <w:rPr>
          <w:rFonts w:cs="Calibri"/>
        </w:rPr>
        <w:t>Pre application</w:t>
      </w:r>
      <w:proofErr w:type="gramEnd"/>
      <w:r w:rsidRPr="008978AD">
        <w:rPr>
          <w:rFonts w:cs="Calibri"/>
        </w:rPr>
        <w:t xml:space="preserve"> discussions have been held regard the developing out of the rest of the site.  June planning committee is being targeted.</w:t>
      </w:r>
    </w:p>
    <w:p w:rsidR="008978AD" w:rsidRDefault="008978AD" w:rsidP="008978AD">
      <w:pPr>
        <w:spacing w:line="254" w:lineRule="auto"/>
        <w:jc w:val="both"/>
        <w:rPr>
          <w:rFonts w:cs="Calibri"/>
        </w:rPr>
      </w:pPr>
      <w:r w:rsidRPr="008978AD">
        <w:rPr>
          <w:rFonts w:cs="Calibri"/>
        </w:rPr>
        <w:t>There is some interest in plots already, with Legat Owen engaged to act on behalf of PSP.  CWAC may also take some incubator space on the site.</w:t>
      </w:r>
    </w:p>
    <w:p w:rsidR="00EB0B96" w:rsidRDefault="00EB0B96" w:rsidP="0068451D">
      <w:pPr>
        <w:pStyle w:val="ListParagraph"/>
        <w:numPr>
          <w:ilvl w:val="1"/>
          <w:numId w:val="21"/>
        </w:numPr>
        <w:spacing w:line="254" w:lineRule="auto"/>
        <w:ind w:hanging="792"/>
        <w:jc w:val="both"/>
        <w:rPr>
          <w:rFonts w:cs="Calibri"/>
          <w:b/>
        </w:rPr>
      </w:pPr>
      <w:r w:rsidRPr="004A1C27">
        <w:rPr>
          <w:rFonts w:cs="Calibri"/>
          <w:b/>
        </w:rPr>
        <w:t>Warrington East Highways scheme</w:t>
      </w:r>
    </w:p>
    <w:p w:rsidR="004047F2" w:rsidRPr="001D33D0" w:rsidRDefault="004047F2" w:rsidP="004047F2">
      <w:pPr>
        <w:spacing w:line="254" w:lineRule="auto"/>
        <w:jc w:val="both"/>
        <w:rPr>
          <w:rFonts w:cs="Calibri"/>
        </w:rPr>
      </w:pPr>
      <w:r w:rsidRPr="001D33D0">
        <w:rPr>
          <w:rFonts w:cs="Calibri"/>
        </w:rPr>
        <w:t xml:space="preserve">Work is due to start on site in July for 18 months.  Significant delays are expected in the area.  Five lots of public engagement are starting next week to help inform </w:t>
      </w:r>
      <w:proofErr w:type="gramStart"/>
      <w:r w:rsidRPr="001D33D0">
        <w:rPr>
          <w:rFonts w:cs="Calibri"/>
        </w:rPr>
        <w:t>local residents</w:t>
      </w:r>
      <w:proofErr w:type="gramEnd"/>
      <w:r w:rsidRPr="001D33D0">
        <w:rPr>
          <w:rFonts w:cs="Calibri"/>
        </w:rPr>
        <w:t xml:space="preserve"> of the likely impacts and alternative routes and options. Phase 3 of the scheme will go ahead with external funding.</w:t>
      </w:r>
    </w:p>
    <w:p w:rsidR="00996C8C" w:rsidRPr="006D4ED8" w:rsidRDefault="00996C8C" w:rsidP="0068451D">
      <w:pPr>
        <w:pStyle w:val="ListParagraph"/>
        <w:numPr>
          <w:ilvl w:val="1"/>
          <w:numId w:val="21"/>
        </w:numPr>
        <w:spacing w:line="254" w:lineRule="auto"/>
        <w:ind w:hanging="792"/>
        <w:jc w:val="both"/>
        <w:rPr>
          <w:rFonts w:cs="Calibri"/>
          <w:b/>
        </w:rPr>
      </w:pPr>
      <w:r>
        <w:rPr>
          <w:rFonts w:eastAsia="Times New Roman" w:cs="Calibri"/>
          <w:b/>
          <w:color w:val="000000"/>
          <w:lang w:eastAsia="en-GB"/>
        </w:rPr>
        <w:t>Tarvin Road</w:t>
      </w:r>
    </w:p>
    <w:p w:rsidR="006071CF" w:rsidRDefault="008447F5" w:rsidP="00996C8C">
      <w:pPr>
        <w:pStyle w:val="ListParagraph"/>
        <w:spacing w:line="254" w:lineRule="auto"/>
        <w:ind w:left="0"/>
        <w:jc w:val="both"/>
        <w:rPr>
          <w:rFonts w:cs="Calibri"/>
        </w:rPr>
      </w:pPr>
      <w:r>
        <w:rPr>
          <w:rFonts w:cs="Calibri"/>
        </w:rPr>
        <w:t>Offer letter has been issued.  Now awaiting updated final business case.</w:t>
      </w:r>
    </w:p>
    <w:p w:rsidR="008447F5" w:rsidRDefault="008447F5" w:rsidP="00996C8C">
      <w:pPr>
        <w:pStyle w:val="ListParagraph"/>
        <w:spacing w:line="254" w:lineRule="auto"/>
        <w:ind w:left="0"/>
        <w:jc w:val="both"/>
        <w:rPr>
          <w:rFonts w:cs="Calibri"/>
        </w:rPr>
      </w:pPr>
    </w:p>
    <w:p w:rsidR="0064301A" w:rsidRPr="00280BC7" w:rsidRDefault="00996C8C" w:rsidP="0068451D">
      <w:pPr>
        <w:pStyle w:val="ListParagraph"/>
        <w:numPr>
          <w:ilvl w:val="1"/>
          <w:numId w:val="21"/>
        </w:numPr>
        <w:spacing w:line="254" w:lineRule="auto"/>
        <w:ind w:hanging="792"/>
        <w:jc w:val="both"/>
        <w:rPr>
          <w:rFonts w:cs="Calibri"/>
          <w:b/>
        </w:rPr>
      </w:pPr>
      <w:r>
        <w:rPr>
          <w:rFonts w:eastAsia="Times New Roman" w:cs="Calibri"/>
          <w:b/>
          <w:color w:val="000000"/>
          <w:lang w:eastAsia="en-GB"/>
        </w:rPr>
        <w:t>Joint Cheshire and Warrington Sustainable Travel Access Fund</w:t>
      </w:r>
    </w:p>
    <w:p w:rsidR="002B33FD" w:rsidRDefault="00280BC7" w:rsidP="00AC15F8">
      <w:pPr>
        <w:spacing w:line="254" w:lineRule="auto"/>
        <w:jc w:val="both"/>
        <w:rPr>
          <w:rFonts w:cs="Calibri"/>
        </w:rPr>
      </w:pPr>
      <w:r w:rsidRPr="009F631B">
        <w:rPr>
          <w:rFonts w:cs="Calibri"/>
        </w:rPr>
        <w:t>The local Transport Board has approved the pro</w:t>
      </w:r>
      <w:r w:rsidR="009F631B" w:rsidRPr="009F631B">
        <w:rPr>
          <w:rFonts w:cs="Calibri"/>
        </w:rPr>
        <w:t>posed split of funding by project.  The LEP board will also need to review and approved the proposed split before the first of the business cases can be considered by P&amp;I.</w:t>
      </w:r>
    </w:p>
    <w:p w:rsidR="001D33D0" w:rsidRPr="00B54EBE" w:rsidRDefault="001D33D0" w:rsidP="0068451D">
      <w:pPr>
        <w:pStyle w:val="ListParagraph"/>
        <w:numPr>
          <w:ilvl w:val="1"/>
          <w:numId w:val="21"/>
        </w:numPr>
        <w:spacing w:line="254" w:lineRule="auto"/>
        <w:ind w:hanging="792"/>
        <w:jc w:val="both"/>
        <w:rPr>
          <w:rFonts w:cs="Calibri"/>
          <w:b/>
        </w:rPr>
      </w:pPr>
      <w:r w:rsidRPr="00B54EBE">
        <w:rPr>
          <w:rFonts w:cs="Calibri"/>
          <w:b/>
        </w:rPr>
        <w:t>Omega Local Highways Scheme.</w:t>
      </w:r>
    </w:p>
    <w:p w:rsidR="00973D48" w:rsidRPr="00973D48" w:rsidRDefault="00973D48" w:rsidP="00973D48">
      <w:pPr>
        <w:spacing w:line="254" w:lineRule="auto"/>
        <w:jc w:val="both"/>
        <w:rPr>
          <w:rFonts w:cs="Calibri"/>
        </w:rPr>
      </w:pPr>
      <w:r>
        <w:rPr>
          <w:rFonts w:cs="Calibri"/>
        </w:rPr>
        <w:t xml:space="preserve">Work is </w:t>
      </w:r>
      <w:proofErr w:type="gramStart"/>
      <w:r>
        <w:rPr>
          <w:rFonts w:cs="Calibri"/>
        </w:rPr>
        <w:t xml:space="preserve">continuing </w:t>
      </w:r>
      <w:r w:rsidR="00B54EBE">
        <w:rPr>
          <w:rFonts w:cs="Calibri"/>
        </w:rPr>
        <w:t>on</w:t>
      </w:r>
      <w:proofErr w:type="gramEnd"/>
      <w:r w:rsidR="00B54EBE">
        <w:rPr>
          <w:rFonts w:cs="Calibri"/>
        </w:rPr>
        <w:t xml:space="preserve"> developing the options for the scheme.  A workshop has been arranged for the 1</w:t>
      </w:r>
      <w:r w:rsidR="00B54EBE" w:rsidRPr="00B54EBE">
        <w:rPr>
          <w:rFonts w:cs="Calibri"/>
          <w:vertAlign w:val="superscript"/>
        </w:rPr>
        <w:t>st</w:t>
      </w:r>
      <w:r w:rsidR="00B54EBE">
        <w:rPr>
          <w:rFonts w:cs="Calibri"/>
        </w:rPr>
        <w:t xml:space="preserve"> June to wo</w:t>
      </w:r>
      <w:r w:rsidR="0068451D">
        <w:rPr>
          <w:rFonts w:cs="Calibri"/>
        </w:rPr>
        <w:t>r</w:t>
      </w:r>
      <w:r w:rsidR="00B54EBE">
        <w:rPr>
          <w:rFonts w:cs="Calibri"/>
        </w:rPr>
        <w:t>k through the four options.  There</w:t>
      </w:r>
      <w:r>
        <w:rPr>
          <w:rFonts w:cs="Calibri"/>
        </w:rPr>
        <w:t xml:space="preserve"> </w:t>
      </w:r>
      <w:r w:rsidR="00B54EBE">
        <w:rPr>
          <w:rFonts w:cs="Calibri"/>
        </w:rPr>
        <w:t>will then be public consultation September to October with a view to submitting the Outline Business Case in February 19.</w:t>
      </w:r>
    </w:p>
    <w:p w:rsidR="001D33D0" w:rsidRPr="001D33D0" w:rsidRDefault="001D33D0" w:rsidP="001D33D0">
      <w:pPr>
        <w:spacing w:line="254" w:lineRule="auto"/>
        <w:jc w:val="both"/>
        <w:rPr>
          <w:rFonts w:cs="Calibri"/>
        </w:rPr>
      </w:pPr>
    </w:p>
    <w:p w:rsidR="006227E3" w:rsidRDefault="006227E3" w:rsidP="00996C8C">
      <w:pPr>
        <w:pStyle w:val="ListParagraph"/>
        <w:numPr>
          <w:ilvl w:val="0"/>
          <w:numId w:val="21"/>
        </w:numPr>
        <w:spacing w:line="254" w:lineRule="auto"/>
        <w:jc w:val="both"/>
        <w:rPr>
          <w:rFonts w:cs="Calibri"/>
          <w:b/>
        </w:rPr>
      </w:pPr>
      <w:r>
        <w:rPr>
          <w:rFonts w:cs="Calibri"/>
          <w:b/>
        </w:rPr>
        <w:lastRenderedPageBreak/>
        <w:t>Transport Projects</w:t>
      </w:r>
    </w:p>
    <w:p w:rsidR="006227E3" w:rsidRDefault="006227E3" w:rsidP="006227E3">
      <w:pPr>
        <w:pStyle w:val="ListParagraph"/>
        <w:numPr>
          <w:ilvl w:val="1"/>
          <w:numId w:val="21"/>
        </w:numPr>
        <w:spacing w:line="254" w:lineRule="auto"/>
        <w:jc w:val="both"/>
        <w:rPr>
          <w:rFonts w:cs="Calibri"/>
          <w:b/>
        </w:rPr>
      </w:pPr>
      <w:r>
        <w:rPr>
          <w:rFonts w:cs="Calibri"/>
          <w:b/>
        </w:rPr>
        <w:t>A500</w:t>
      </w:r>
    </w:p>
    <w:p w:rsidR="008121AA" w:rsidRDefault="001F72C7" w:rsidP="001F72C7">
      <w:pPr>
        <w:spacing w:line="254" w:lineRule="auto"/>
        <w:jc w:val="both"/>
        <w:rPr>
          <w:rFonts w:cs="Calibri"/>
        </w:rPr>
      </w:pPr>
      <w:r w:rsidRPr="00693514">
        <w:rPr>
          <w:rFonts w:cs="Calibri"/>
        </w:rPr>
        <w:t xml:space="preserve">The </w:t>
      </w:r>
      <w:r w:rsidR="00BF5044" w:rsidRPr="00693514">
        <w:rPr>
          <w:rFonts w:cs="Calibri"/>
        </w:rPr>
        <w:t xml:space="preserve">Scheme Cost Estimate </w:t>
      </w:r>
      <w:proofErr w:type="gramStart"/>
      <w:r w:rsidR="00BF5044" w:rsidRPr="00693514">
        <w:rPr>
          <w:rFonts w:cs="Calibri"/>
        </w:rPr>
        <w:t>updated</w:t>
      </w:r>
      <w:proofErr w:type="gramEnd"/>
      <w:r w:rsidRPr="00693514">
        <w:rPr>
          <w:rFonts w:cs="Calibri"/>
        </w:rPr>
        <w:t xml:space="preserve"> and the </w:t>
      </w:r>
      <w:r w:rsidR="00BF5044" w:rsidRPr="00693514">
        <w:rPr>
          <w:rFonts w:cs="Calibri"/>
        </w:rPr>
        <w:t xml:space="preserve">Drainage Strategy finalised </w:t>
      </w:r>
      <w:r w:rsidRPr="00693514">
        <w:rPr>
          <w:rFonts w:cs="Calibri"/>
        </w:rPr>
        <w:t>with</w:t>
      </w:r>
      <w:r w:rsidR="00BF5044" w:rsidRPr="00693514">
        <w:rPr>
          <w:rFonts w:cs="Calibri"/>
        </w:rPr>
        <w:t xml:space="preserve"> comments from EA or CEC</w:t>
      </w:r>
      <w:r w:rsidRPr="00693514">
        <w:rPr>
          <w:rFonts w:cs="Calibri"/>
        </w:rPr>
        <w:t xml:space="preserve">.  During the next month work is going to </w:t>
      </w:r>
      <w:proofErr w:type="gramStart"/>
      <w:r w:rsidRPr="00693514">
        <w:rPr>
          <w:rFonts w:cs="Calibri"/>
        </w:rPr>
        <w:t>continue on</w:t>
      </w:r>
      <w:proofErr w:type="gramEnd"/>
      <w:r w:rsidRPr="00693514">
        <w:rPr>
          <w:rFonts w:cs="Calibri"/>
        </w:rPr>
        <w:t xml:space="preserve"> the planning applications and business case development. </w:t>
      </w:r>
    </w:p>
    <w:p w:rsidR="001F72C7" w:rsidRPr="008121AA" w:rsidRDefault="001F72C7" w:rsidP="001F72C7">
      <w:pPr>
        <w:spacing w:line="254" w:lineRule="auto"/>
        <w:jc w:val="both"/>
        <w:rPr>
          <w:rFonts w:cs="Calibri"/>
        </w:rPr>
      </w:pPr>
      <w:r w:rsidRPr="00693514">
        <w:rPr>
          <w:rFonts w:cs="Calibri"/>
          <w:lang w:val="en-US"/>
        </w:rPr>
        <w:br/>
        <w:t>Some issues with gaining access to land to carry out survey</w:t>
      </w:r>
      <w:r w:rsidR="000D65C2">
        <w:rPr>
          <w:rFonts w:cs="Calibri"/>
          <w:lang w:val="en-US"/>
        </w:rPr>
        <w:t>s</w:t>
      </w:r>
      <w:r w:rsidRPr="00693514">
        <w:rPr>
          <w:rFonts w:cs="Calibri"/>
          <w:lang w:val="en-US"/>
        </w:rPr>
        <w:t xml:space="preserve"> and issue over level of protection for oil line still unresolved.</w:t>
      </w:r>
    </w:p>
    <w:p w:rsidR="001F72C7" w:rsidRPr="00693514" w:rsidRDefault="001F72C7" w:rsidP="00693514">
      <w:pPr>
        <w:spacing w:line="254" w:lineRule="auto"/>
        <w:rPr>
          <w:rFonts w:cs="Calibri"/>
          <w:lang w:val="en-US"/>
        </w:rPr>
      </w:pPr>
      <w:r w:rsidRPr="00693514">
        <w:rPr>
          <w:rFonts w:cs="Calibri"/>
          <w:lang w:val="en-US"/>
        </w:rPr>
        <w:t xml:space="preserve">Part of the scheme will fall within in Newcastle under </w:t>
      </w:r>
      <w:r w:rsidR="000D65C2">
        <w:rPr>
          <w:rFonts w:cs="Calibri"/>
          <w:lang w:val="en-US"/>
        </w:rPr>
        <w:t>L</w:t>
      </w:r>
      <w:r w:rsidRPr="00693514">
        <w:rPr>
          <w:rFonts w:cs="Calibri"/>
          <w:lang w:val="en-US"/>
        </w:rPr>
        <w:t>yme planning area so may be subject to a s</w:t>
      </w:r>
      <w:r w:rsidR="008121AA">
        <w:rPr>
          <w:rFonts w:cs="Calibri"/>
          <w:lang w:val="en-US"/>
        </w:rPr>
        <w:t>e</w:t>
      </w:r>
      <w:r w:rsidRPr="00693514">
        <w:rPr>
          <w:rFonts w:cs="Calibri"/>
          <w:lang w:val="en-US"/>
        </w:rPr>
        <w:t>perate</w:t>
      </w:r>
      <w:r w:rsidR="000D65C2">
        <w:rPr>
          <w:rFonts w:cs="Calibri"/>
          <w:lang w:val="en-US"/>
        </w:rPr>
        <w:t>/dual</w:t>
      </w:r>
      <w:r w:rsidRPr="00693514">
        <w:rPr>
          <w:rFonts w:cs="Calibri"/>
          <w:lang w:val="en-US"/>
        </w:rPr>
        <w:t xml:space="preserve"> planning application. </w:t>
      </w:r>
      <w:r w:rsidR="000D65C2">
        <w:rPr>
          <w:rFonts w:cs="Calibri"/>
          <w:lang w:val="en-US"/>
        </w:rPr>
        <w:t>Estimated cost remains at £57m.</w:t>
      </w:r>
    </w:p>
    <w:p w:rsidR="006227E3" w:rsidRDefault="000A3487" w:rsidP="006227E3">
      <w:pPr>
        <w:pStyle w:val="ListParagraph"/>
        <w:numPr>
          <w:ilvl w:val="1"/>
          <w:numId w:val="21"/>
        </w:numPr>
        <w:spacing w:line="254" w:lineRule="auto"/>
        <w:jc w:val="both"/>
        <w:rPr>
          <w:rFonts w:cs="Calibri"/>
          <w:b/>
        </w:rPr>
      </w:pPr>
      <w:r>
        <w:rPr>
          <w:rFonts w:cs="Calibri"/>
          <w:b/>
        </w:rPr>
        <w:t>Middlewich Bypass</w:t>
      </w:r>
    </w:p>
    <w:p w:rsidR="00675E60" w:rsidRPr="00EB0B96" w:rsidRDefault="00EB0B96" w:rsidP="00EB0B96">
      <w:pPr>
        <w:spacing w:line="254" w:lineRule="auto"/>
        <w:jc w:val="both"/>
        <w:rPr>
          <w:rFonts w:cs="Calibri"/>
        </w:rPr>
      </w:pPr>
      <w:r>
        <w:rPr>
          <w:rFonts w:cs="Calibri"/>
        </w:rPr>
        <w:t>Design work continuing with a view to submitting a planning application in June 18.</w:t>
      </w:r>
    </w:p>
    <w:p w:rsidR="00DC3081" w:rsidRPr="00641C54" w:rsidRDefault="00DC3081" w:rsidP="00DC3081">
      <w:pPr>
        <w:pStyle w:val="ListParagraph"/>
        <w:numPr>
          <w:ilvl w:val="1"/>
          <w:numId w:val="1"/>
        </w:numPr>
        <w:spacing w:line="254" w:lineRule="auto"/>
        <w:jc w:val="both"/>
        <w:rPr>
          <w:rFonts w:cs="Calibri"/>
          <w:b/>
        </w:rPr>
      </w:pPr>
      <w:r w:rsidRPr="00641C54">
        <w:rPr>
          <w:rFonts w:cs="Calibri"/>
          <w:b/>
        </w:rPr>
        <w:t>Congleton Link Road</w:t>
      </w:r>
    </w:p>
    <w:p w:rsidR="00DC3081" w:rsidRPr="007048EC" w:rsidRDefault="00DC3081" w:rsidP="00DC3081">
      <w:pPr>
        <w:spacing w:line="254" w:lineRule="auto"/>
        <w:jc w:val="both"/>
        <w:rPr>
          <w:rFonts w:cs="Calibri"/>
        </w:rPr>
      </w:pPr>
      <w:r>
        <w:rPr>
          <w:rFonts w:cs="Calibri"/>
        </w:rPr>
        <w:t xml:space="preserve">Work is </w:t>
      </w:r>
      <w:proofErr w:type="gramStart"/>
      <w:r>
        <w:rPr>
          <w:rFonts w:cs="Calibri"/>
        </w:rPr>
        <w:t>continuing on</w:t>
      </w:r>
      <w:proofErr w:type="gramEnd"/>
      <w:r>
        <w:rPr>
          <w:rFonts w:cs="Calibri"/>
        </w:rPr>
        <w:t xml:space="preserve"> reviewing the tender submission with a view to issuing the award notice in June.  The business case is due to be submitted to DfT in June.</w:t>
      </w:r>
      <w:r w:rsidR="0046416C">
        <w:rPr>
          <w:rFonts w:cs="Calibri"/>
        </w:rPr>
        <w:t xml:space="preserve">  There will be a presentation at the May meeting.</w:t>
      </w:r>
    </w:p>
    <w:p w:rsidR="00DC3081" w:rsidRDefault="00DC3081" w:rsidP="00DC3081">
      <w:pPr>
        <w:pStyle w:val="ListParagraph"/>
        <w:numPr>
          <w:ilvl w:val="0"/>
          <w:numId w:val="1"/>
        </w:numPr>
        <w:spacing w:line="254" w:lineRule="auto"/>
        <w:jc w:val="both"/>
        <w:rPr>
          <w:rFonts w:cs="Calibri"/>
          <w:b/>
        </w:rPr>
      </w:pPr>
      <w:r>
        <w:rPr>
          <w:rFonts w:cs="Calibri"/>
          <w:b/>
        </w:rPr>
        <w:t>Growing Places Fund (GPF) Update</w:t>
      </w:r>
    </w:p>
    <w:p w:rsidR="00DC3081" w:rsidRDefault="00DC3081" w:rsidP="00DC3081">
      <w:pPr>
        <w:pStyle w:val="ListParagraph"/>
        <w:numPr>
          <w:ilvl w:val="1"/>
          <w:numId w:val="1"/>
        </w:numPr>
        <w:spacing w:line="254" w:lineRule="auto"/>
        <w:jc w:val="both"/>
        <w:rPr>
          <w:rFonts w:cs="Calibri"/>
          <w:b/>
        </w:rPr>
      </w:pPr>
      <w:r>
        <w:rPr>
          <w:rFonts w:cs="Calibri"/>
          <w:b/>
        </w:rPr>
        <w:t>Cheshire Green</w:t>
      </w:r>
    </w:p>
    <w:p w:rsidR="00DC3081" w:rsidRDefault="00DC3081" w:rsidP="0068451D">
      <w:pPr>
        <w:pStyle w:val="NormalWeb"/>
        <w:jc w:val="both"/>
      </w:pPr>
      <w:r>
        <w:t xml:space="preserve">Excellent progress continues to be made on the Cheshire Green Employment site.  A third of the loan has now been drawn.  </w:t>
      </w:r>
    </w:p>
    <w:p w:rsidR="00A9633B" w:rsidRDefault="00A9633B" w:rsidP="00A9633B">
      <w:pPr>
        <w:pStyle w:val="NormalWeb"/>
      </w:pPr>
    </w:p>
    <w:p w:rsidR="00996C8C" w:rsidRDefault="00996C8C" w:rsidP="00996C8C">
      <w:pPr>
        <w:pStyle w:val="ListParagraph"/>
        <w:numPr>
          <w:ilvl w:val="1"/>
          <w:numId w:val="21"/>
        </w:numPr>
        <w:spacing w:line="254" w:lineRule="auto"/>
        <w:jc w:val="both"/>
        <w:rPr>
          <w:rFonts w:cs="Calibri"/>
          <w:b/>
        </w:rPr>
      </w:pPr>
      <w:r>
        <w:rPr>
          <w:rFonts w:cs="Calibri"/>
          <w:b/>
        </w:rPr>
        <w:t>Further applications</w:t>
      </w:r>
    </w:p>
    <w:p w:rsidR="006B7963" w:rsidRDefault="00E250C4" w:rsidP="006B7963">
      <w:pPr>
        <w:spacing w:line="254" w:lineRule="auto"/>
        <w:jc w:val="both"/>
        <w:rPr>
          <w:rFonts w:cs="Calibri"/>
        </w:rPr>
      </w:pPr>
      <w:r w:rsidRPr="00A308B3">
        <w:rPr>
          <w:rFonts w:cs="Calibri"/>
        </w:rPr>
        <w:t xml:space="preserve">Heads of terms have been drawn up for the sub-station project.  Approval of the </w:t>
      </w:r>
      <w:r w:rsidR="00A308B3" w:rsidRPr="00A308B3">
        <w:rPr>
          <w:rFonts w:cs="Calibri"/>
        </w:rPr>
        <w:t>loan</w:t>
      </w:r>
      <w:r w:rsidRPr="00A308B3">
        <w:rPr>
          <w:rFonts w:cs="Calibri"/>
        </w:rPr>
        <w:t xml:space="preserve"> is likely to be sought from P&amp;I in </w:t>
      </w:r>
      <w:r w:rsidR="0046416C">
        <w:rPr>
          <w:rFonts w:cs="Calibri"/>
        </w:rPr>
        <w:t>June</w:t>
      </w:r>
      <w:r w:rsidRPr="00A308B3">
        <w:rPr>
          <w:rFonts w:cs="Calibri"/>
        </w:rPr>
        <w:t>.</w:t>
      </w:r>
    </w:p>
    <w:p w:rsidR="00A308B3" w:rsidRPr="00A308B3" w:rsidRDefault="00A308B3" w:rsidP="006B7963">
      <w:pPr>
        <w:spacing w:line="254" w:lineRule="auto"/>
        <w:jc w:val="both"/>
        <w:rPr>
          <w:rFonts w:cs="Calibri"/>
        </w:rPr>
      </w:pPr>
      <w:r>
        <w:rPr>
          <w:rFonts w:cs="Calibri"/>
        </w:rPr>
        <w:t xml:space="preserve">An application from </w:t>
      </w:r>
      <w:proofErr w:type="spellStart"/>
      <w:r w:rsidR="0046416C">
        <w:rPr>
          <w:rFonts w:cs="Calibri"/>
        </w:rPr>
        <w:t>Bruntwood</w:t>
      </w:r>
      <w:proofErr w:type="spellEnd"/>
      <w:r w:rsidR="0046416C">
        <w:rPr>
          <w:rFonts w:cs="Calibri"/>
        </w:rPr>
        <w:t xml:space="preserve"> </w:t>
      </w:r>
      <w:r>
        <w:rPr>
          <w:rFonts w:cs="Calibri"/>
        </w:rPr>
        <w:t>for grant funding towards the cost of a new build has been received and is under consideration.</w:t>
      </w:r>
      <w:r w:rsidR="0068451D">
        <w:rPr>
          <w:rFonts w:cs="Calibri"/>
        </w:rPr>
        <w:t xml:space="preserve">  A paper providing details of the proposed contribution of GPF to the scheme will be presented at the June meeting.</w:t>
      </w:r>
    </w:p>
    <w:p w:rsidR="007B7F30" w:rsidRDefault="00996C8C" w:rsidP="00862630">
      <w:pPr>
        <w:pStyle w:val="ListParagraph"/>
        <w:numPr>
          <w:ilvl w:val="0"/>
          <w:numId w:val="21"/>
        </w:numPr>
        <w:jc w:val="both"/>
        <w:rPr>
          <w:rFonts w:cstheme="minorHAnsi"/>
          <w:b/>
          <w:sz w:val="24"/>
          <w:szCs w:val="24"/>
        </w:rPr>
      </w:pPr>
      <w:r w:rsidRPr="00862630">
        <w:rPr>
          <w:rFonts w:cstheme="minorHAnsi"/>
          <w:b/>
          <w:sz w:val="24"/>
          <w:szCs w:val="24"/>
        </w:rPr>
        <w:t xml:space="preserve">Finance </w:t>
      </w:r>
    </w:p>
    <w:p w:rsidR="00933DAA" w:rsidRPr="00A948DF" w:rsidRDefault="00933DAA" w:rsidP="00A948DF">
      <w:pPr>
        <w:spacing w:line="254" w:lineRule="auto"/>
        <w:jc w:val="both"/>
        <w:rPr>
          <w:rFonts w:cs="Calibri"/>
        </w:rPr>
      </w:pPr>
      <w:r w:rsidRPr="00A948DF">
        <w:rPr>
          <w:rFonts w:cs="Calibri"/>
        </w:rPr>
        <w:t xml:space="preserve">The total amount spent in 17/18 was £18.454m, bringing the total amount of LGF spent to date to </w:t>
      </w:r>
      <w:r w:rsidR="0068451D">
        <w:rPr>
          <w:rFonts w:cs="Calibri"/>
        </w:rPr>
        <w:t>£71.4</w:t>
      </w:r>
      <w:r w:rsidRPr="00A948DF">
        <w:rPr>
          <w:rFonts w:cs="Calibri"/>
        </w:rPr>
        <w:t xml:space="preserve">m. </w:t>
      </w:r>
      <w:r w:rsidR="00AC15F8" w:rsidRPr="00A948DF">
        <w:rPr>
          <w:rFonts w:cs="Calibri"/>
        </w:rPr>
        <w:t xml:space="preserve">  Match funding of over £42m has been achieved, brining the total value of projects to over £110m   </w:t>
      </w:r>
      <w:r w:rsidRPr="00A948DF">
        <w:rPr>
          <w:rFonts w:cs="Calibri"/>
        </w:rPr>
        <w:t xml:space="preserve"> BEIS have now paid the LEP </w:t>
      </w:r>
      <w:r w:rsidR="00AC15F8" w:rsidRPr="00A948DF">
        <w:rPr>
          <w:rFonts w:cs="Calibri"/>
        </w:rPr>
        <w:t xml:space="preserve">the </w:t>
      </w:r>
      <w:r w:rsidRPr="00A948DF">
        <w:rPr>
          <w:rFonts w:cs="Calibri"/>
        </w:rPr>
        <w:t>£16m</w:t>
      </w:r>
      <w:r w:rsidR="00AC15F8" w:rsidRPr="00A948DF">
        <w:rPr>
          <w:rFonts w:cs="Calibri"/>
        </w:rPr>
        <w:t xml:space="preserve"> LGF</w:t>
      </w:r>
      <w:r w:rsidRPr="00A948DF">
        <w:rPr>
          <w:rFonts w:cs="Calibri"/>
        </w:rPr>
        <w:t xml:space="preserve"> to spen</w:t>
      </w:r>
      <w:r w:rsidR="00AC15F8" w:rsidRPr="00A948DF">
        <w:rPr>
          <w:rFonts w:cs="Calibri"/>
        </w:rPr>
        <w:t>d</w:t>
      </w:r>
      <w:r w:rsidRPr="00A948DF">
        <w:rPr>
          <w:rFonts w:cs="Calibri"/>
        </w:rPr>
        <w:t xml:space="preserve"> this year.  The estimated spend on projects this year is expected to be £20m +- £2m.</w:t>
      </w:r>
    </w:p>
    <w:p w:rsidR="007B7F30" w:rsidRPr="009D6AFA" w:rsidRDefault="00996C8C" w:rsidP="009D6AFA">
      <w:pPr>
        <w:pStyle w:val="ListParagraph"/>
        <w:numPr>
          <w:ilvl w:val="0"/>
          <w:numId w:val="21"/>
        </w:numPr>
        <w:jc w:val="both"/>
        <w:rPr>
          <w:rFonts w:cstheme="minorHAnsi"/>
          <w:b/>
          <w:sz w:val="24"/>
          <w:szCs w:val="24"/>
        </w:rPr>
      </w:pPr>
      <w:r w:rsidRPr="009D6AFA">
        <w:rPr>
          <w:b/>
          <w:noProof/>
          <w:lang w:eastAsia="en-GB"/>
        </w:rPr>
        <w:t>Outputs</w:t>
      </w:r>
    </w:p>
    <w:p w:rsidR="00895057" w:rsidRPr="00A948DF" w:rsidRDefault="00805420" w:rsidP="00A948DF">
      <w:pPr>
        <w:spacing w:line="254" w:lineRule="auto"/>
        <w:jc w:val="both"/>
        <w:rPr>
          <w:rFonts w:cs="Calibri"/>
        </w:rPr>
      </w:pPr>
      <w:r w:rsidRPr="00A948DF">
        <w:rPr>
          <w:rFonts w:cs="Calibri"/>
        </w:rPr>
        <w:t xml:space="preserve">BEIS are still waiting for clarification of what impact sites can be counted on LGF projects.  </w:t>
      </w:r>
      <w:r w:rsidR="0046416C" w:rsidRPr="00A948DF">
        <w:rPr>
          <w:rFonts w:cs="Calibri"/>
        </w:rPr>
        <w:t xml:space="preserve">If we </w:t>
      </w:r>
      <w:proofErr w:type="gramStart"/>
      <w:r w:rsidR="0046416C" w:rsidRPr="00A948DF">
        <w:rPr>
          <w:rFonts w:cs="Calibri"/>
        </w:rPr>
        <w:t>are allowed to</w:t>
      </w:r>
      <w:proofErr w:type="gramEnd"/>
      <w:r w:rsidR="0046416C" w:rsidRPr="00A948DF">
        <w:rPr>
          <w:rFonts w:cs="Calibri"/>
        </w:rPr>
        <w:t xml:space="preserve"> count the Omega Site outputs for the M62 j8 scheme, the </w:t>
      </w:r>
      <w:bookmarkStart w:id="1" w:name="_GoBack"/>
      <w:bookmarkEnd w:id="1"/>
      <w:r w:rsidR="0046416C" w:rsidRPr="00A948DF">
        <w:rPr>
          <w:rFonts w:cs="Calibri"/>
        </w:rPr>
        <w:t>jobs create, private sector leverage and commercial floorspace outputs achieved will increase significantly</w:t>
      </w:r>
    </w:p>
    <w:p w:rsidR="00AC15F8" w:rsidRPr="00A948DF" w:rsidRDefault="00AC15F8" w:rsidP="00A948DF">
      <w:pPr>
        <w:spacing w:line="254" w:lineRule="auto"/>
        <w:jc w:val="both"/>
        <w:rPr>
          <w:rFonts w:cs="Calibri"/>
        </w:rPr>
      </w:pPr>
      <w:r w:rsidRPr="00A948DF">
        <w:rPr>
          <w:rFonts w:cs="Calibri"/>
        </w:rPr>
        <w:t>The outputs achieved to date and contracted are:</w:t>
      </w:r>
    </w:p>
    <w:tbl>
      <w:tblPr>
        <w:tblW w:w="8820" w:type="dxa"/>
        <w:tblLook w:val="04A0" w:firstRow="1" w:lastRow="0" w:firstColumn="1" w:lastColumn="0" w:noHBand="0" w:noVBand="1"/>
      </w:tblPr>
      <w:tblGrid>
        <w:gridCol w:w="4000"/>
        <w:gridCol w:w="1340"/>
        <w:gridCol w:w="1229"/>
        <w:gridCol w:w="1058"/>
        <w:gridCol w:w="1360"/>
      </w:tblGrid>
      <w:tr w:rsidR="00AC15F8" w:rsidRPr="00AC15F8" w:rsidTr="00AC15F8">
        <w:trPr>
          <w:trHeight w:val="300"/>
        </w:trPr>
        <w:tc>
          <w:tcPr>
            <w:tcW w:w="4000" w:type="dxa"/>
            <w:tcBorders>
              <w:top w:val="nil"/>
              <w:left w:val="nil"/>
              <w:bottom w:val="nil"/>
              <w:right w:val="nil"/>
            </w:tcBorders>
            <w:shd w:val="clear" w:color="auto" w:fill="auto"/>
            <w:noWrap/>
            <w:vAlign w:val="bottom"/>
            <w:hideMark/>
          </w:tcPr>
          <w:p w:rsidR="00AC15F8" w:rsidRPr="00AC15F8" w:rsidRDefault="00AC15F8" w:rsidP="00AC15F8">
            <w:pPr>
              <w:spacing w:after="0" w:line="240" w:lineRule="auto"/>
              <w:rPr>
                <w:rFonts w:ascii="Times New Roman" w:eastAsia="Times New Roman" w:hAnsi="Times New Roman" w:cs="Times New Roman"/>
                <w:sz w:val="24"/>
                <w:szCs w:val="24"/>
                <w:lang w:val="en-US"/>
              </w:rPr>
            </w:pPr>
          </w:p>
        </w:tc>
        <w:tc>
          <w:tcPr>
            <w:tcW w:w="1340" w:type="dxa"/>
            <w:tcBorders>
              <w:top w:val="nil"/>
              <w:left w:val="nil"/>
              <w:bottom w:val="nil"/>
              <w:right w:val="nil"/>
            </w:tcBorders>
            <w:shd w:val="clear" w:color="auto" w:fill="auto"/>
            <w:noWrap/>
            <w:vAlign w:val="bottom"/>
            <w:hideMark/>
          </w:tcPr>
          <w:p w:rsidR="00AC15F8" w:rsidRPr="00AC15F8" w:rsidRDefault="00AC15F8" w:rsidP="00AC15F8">
            <w:pPr>
              <w:spacing w:after="0" w:line="240" w:lineRule="auto"/>
              <w:rPr>
                <w:rFonts w:ascii="Times New Roman" w:eastAsia="Times New Roman" w:hAnsi="Times New Roman" w:cs="Times New Roman"/>
                <w:sz w:val="20"/>
                <w:szCs w:val="20"/>
                <w:lang w:val="en-US"/>
              </w:rPr>
            </w:pPr>
          </w:p>
        </w:tc>
        <w:tc>
          <w:tcPr>
            <w:tcW w:w="1160" w:type="dxa"/>
            <w:tcBorders>
              <w:top w:val="nil"/>
              <w:left w:val="nil"/>
              <w:bottom w:val="nil"/>
              <w:right w:val="nil"/>
            </w:tcBorders>
            <w:shd w:val="clear" w:color="auto" w:fill="auto"/>
            <w:noWrap/>
            <w:vAlign w:val="bottom"/>
            <w:hideMark/>
          </w:tcPr>
          <w:p w:rsidR="00AC15F8" w:rsidRPr="00AC15F8" w:rsidRDefault="00AC15F8" w:rsidP="00AC15F8">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rsidR="00AC15F8" w:rsidRPr="00AC15F8" w:rsidRDefault="00AC15F8" w:rsidP="00AC15F8">
            <w:pPr>
              <w:spacing w:after="0" w:line="240" w:lineRule="auto"/>
              <w:rPr>
                <w:rFonts w:ascii="Times New Roman" w:eastAsia="Times New Roman" w:hAnsi="Times New Roman" w:cs="Times New Roman"/>
                <w:sz w:val="20"/>
                <w:szCs w:val="20"/>
                <w:lang w:val="en-US"/>
              </w:rPr>
            </w:pPr>
          </w:p>
        </w:tc>
        <w:tc>
          <w:tcPr>
            <w:tcW w:w="1360" w:type="dxa"/>
            <w:tcBorders>
              <w:top w:val="nil"/>
              <w:left w:val="nil"/>
              <w:bottom w:val="nil"/>
              <w:right w:val="nil"/>
            </w:tcBorders>
            <w:shd w:val="clear" w:color="auto" w:fill="auto"/>
            <w:noWrap/>
            <w:vAlign w:val="bottom"/>
            <w:hideMark/>
          </w:tcPr>
          <w:p w:rsidR="00AC15F8" w:rsidRPr="00AC15F8" w:rsidRDefault="00AC15F8" w:rsidP="00AC15F8">
            <w:pPr>
              <w:spacing w:after="0" w:line="240" w:lineRule="auto"/>
              <w:rPr>
                <w:rFonts w:ascii="Times New Roman" w:eastAsia="Times New Roman" w:hAnsi="Times New Roman" w:cs="Times New Roman"/>
                <w:sz w:val="20"/>
                <w:szCs w:val="20"/>
                <w:lang w:val="en-US"/>
              </w:rPr>
            </w:pPr>
          </w:p>
        </w:tc>
      </w:tr>
      <w:tr w:rsidR="00AC15F8" w:rsidRPr="00AC15F8" w:rsidTr="00AC15F8">
        <w:trPr>
          <w:trHeight w:val="900"/>
        </w:trPr>
        <w:tc>
          <w:tcPr>
            <w:tcW w:w="40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AC15F8" w:rsidRPr="00AC15F8" w:rsidRDefault="00AC15F8" w:rsidP="00AC15F8">
            <w:pPr>
              <w:spacing w:after="0" w:line="240" w:lineRule="auto"/>
              <w:rPr>
                <w:rFonts w:ascii="Calibri" w:eastAsia="Times New Roman" w:hAnsi="Calibri" w:cs="Calibri"/>
                <w:b/>
                <w:bCs/>
                <w:color w:val="000000"/>
                <w:lang w:val="en-US"/>
              </w:rPr>
            </w:pPr>
            <w:r w:rsidRPr="00AC15F8">
              <w:rPr>
                <w:rFonts w:ascii="Calibri" w:eastAsia="Times New Roman" w:hAnsi="Calibri" w:cs="Calibri"/>
                <w:b/>
                <w:bCs/>
                <w:color w:val="000000"/>
                <w:lang w:val="en-US"/>
              </w:rPr>
              <w:lastRenderedPageBreak/>
              <w:t>Outputs</w:t>
            </w:r>
          </w:p>
        </w:tc>
        <w:tc>
          <w:tcPr>
            <w:tcW w:w="1340" w:type="dxa"/>
            <w:tcBorders>
              <w:top w:val="single" w:sz="4" w:space="0" w:color="auto"/>
              <w:left w:val="nil"/>
              <w:bottom w:val="single" w:sz="4" w:space="0" w:color="auto"/>
              <w:right w:val="single" w:sz="4" w:space="0" w:color="auto"/>
            </w:tcBorders>
            <w:shd w:val="clear" w:color="000000" w:fill="9BC2E6"/>
            <w:noWrap/>
            <w:vAlign w:val="center"/>
            <w:hideMark/>
          </w:tcPr>
          <w:p w:rsidR="00AC15F8" w:rsidRPr="00AC15F8" w:rsidRDefault="00AC15F8" w:rsidP="00AC15F8">
            <w:pPr>
              <w:spacing w:after="0" w:line="240" w:lineRule="auto"/>
              <w:rPr>
                <w:rFonts w:ascii="Calibri" w:eastAsia="Times New Roman" w:hAnsi="Calibri" w:cs="Calibri"/>
                <w:b/>
                <w:bCs/>
                <w:color w:val="000000"/>
                <w:lang w:val="en-US"/>
              </w:rPr>
            </w:pPr>
            <w:r w:rsidRPr="00AC15F8">
              <w:rPr>
                <w:rFonts w:ascii="Calibri" w:eastAsia="Times New Roman" w:hAnsi="Calibri" w:cs="Calibri"/>
                <w:b/>
                <w:bCs/>
                <w:color w:val="000000"/>
                <w:lang w:val="en-US"/>
              </w:rPr>
              <w:t>BEIS Target</w:t>
            </w:r>
          </w:p>
        </w:tc>
        <w:tc>
          <w:tcPr>
            <w:tcW w:w="1160" w:type="dxa"/>
            <w:tcBorders>
              <w:top w:val="single" w:sz="4" w:space="0" w:color="auto"/>
              <w:left w:val="nil"/>
              <w:bottom w:val="single" w:sz="4" w:space="0" w:color="auto"/>
              <w:right w:val="single" w:sz="4" w:space="0" w:color="auto"/>
            </w:tcBorders>
            <w:shd w:val="clear" w:color="000000" w:fill="9BC2E6"/>
            <w:vAlign w:val="center"/>
            <w:hideMark/>
          </w:tcPr>
          <w:p w:rsidR="00AC15F8" w:rsidRPr="00AC15F8" w:rsidRDefault="00AC15F8" w:rsidP="00AC15F8">
            <w:pPr>
              <w:spacing w:after="0" w:line="240" w:lineRule="auto"/>
              <w:rPr>
                <w:rFonts w:ascii="Calibri" w:eastAsia="Times New Roman" w:hAnsi="Calibri" w:cs="Calibri"/>
                <w:b/>
                <w:bCs/>
                <w:color w:val="000000"/>
                <w:lang w:val="en-US"/>
              </w:rPr>
            </w:pPr>
            <w:r w:rsidRPr="00AC15F8">
              <w:rPr>
                <w:rFonts w:ascii="Calibri" w:eastAsia="Times New Roman" w:hAnsi="Calibri" w:cs="Calibri"/>
                <w:b/>
                <w:bCs/>
                <w:color w:val="000000"/>
                <w:lang w:val="en-US"/>
              </w:rPr>
              <w:t>Contracted on projects</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AC15F8" w:rsidRPr="00AC15F8" w:rsidRDefault="00AC15F8" w:rsidP="00AC15F8">
            <w:pPr>
              <w:spacing w:after="0" w:line="240" w:lineRule="auto"/>
              <w:rPr>
                <w:rFonts w:ascii="Calibri" w:eastAsia="Times New Roman" w:hAnsi="Calibri" w:cs="Calibri"/>
                <w:b/>
                <w:bCs/>
                <w:color w:val="000000"/>
                <w:lang w:val="en-US"/>
              </w:rPr>
            </w:pPr>
            <w:r w:rsidRPr="00AC15F8">
              <w:rPr>
                <w:rFonts w:ascii="Calibri" w:eastAsia="Times New Roman" w:hAnsi="Calibri" w:cs="Calibri"/>
                <w:b/>
                <w:bCs/>
                <w:color w:val="000000"/>
                <w:lang w:val="en-US"/>
              </w:rPr>
              <w:t>Achieved to date</w:t>
            </w:r>
          </w:p>
        </w:tc>
        <w:tc>
          <w:tcPr>
            <w:tcW w:w="1360" w:type="dxa"/>
            <w:tcBorders>
              <w:top w:val="single" w:sz="4" w:space="0" w:color="auto"/>
              <w:left w:val="nil"/>
              <w:bottom w:val="single" w:sz="4" w:space="0" w:color="auto"/>
              <w:right w:val="single" w:sz="4" w:space="0" w:color="auto"/>
            </w:tcBorders>
            <w:shd w:val="clear" w:color="000000" w:fill="9BC2E6"/>
            <w:vAlign w:val="center"/>
            <w:hideMark/>
          </w:tcPr>
          <w:p w:rsidR="00AC15F8" w:rsidRPr="00AC15F8" w:rsidRDefault="00AC15F8" w:rsidP="00AC15F8">
            <w:pPr>
              <w:spacing w:after="0" w:line="240" w:lineRule="auto"/>
              <w:rPr>
                <w:rFonts w:ascii="Calibri" w:eastAsia="Times New Roman" w:hAnsi="Calibri" w:cs="Calibri"/>
                <w:b/>
                <w:bCs/>
                <w:color w:val="000000"/>
                <w:lang w:val="en-US"/>
              </w:rPr>
            </w:pPr>
            <w:r w:rsidRPr="00AC15F8">
              <w:rPr>
                <w:rFonts w:ascii="Calibri" w:eastAsia="Times New Roman" w:hAnsi="Calibri" w:cs="Calibri"/>
                <w:b/>
                <w:bCs/>
                <w:color w:val="000000"/>
                <w:lang w:val="en-US"/>
              </w:rPr>
              <w:t xml:space="preserve"> Percentage achieved </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New Commercial Floorspace (sqm)</w:t>
            </w:r>
          </w:p>
        </w:tc>
        <w:tc>
          <w:tcPr>
            <w:tcW w:w="134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184,272</w:t>
            </w:r>
          </w:p>
        </w:tc>
        <w:tc>
          <w:tcPr>
            <w:tcW w:w="9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6,913</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4%</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Renovated Commercial Floorspace (sqm)</w:t>
            </w:r>
          </w:p>
        </w:tc>
        <w:tc>
          <w:tcPr>
            <w:tcW w:w="134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3671</w:t>
            </w:r>
          </w:p>
        </w:tc>
        <w:tc>
          <w:tcPr>
            <w:tcW w:w="9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3367</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92%</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Businesses receiving investment</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29</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11</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38%</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Jobs created</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12000</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24,464</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77</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0%</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Private sector Leverage</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280</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284</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14</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5%</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Public Sector Leverage</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55</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28</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50%</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New homes completed</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5000</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11,584</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2,217</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19%</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New home starts</w:t>
            </w:r>
          </w:p>
        </w:tc>
        <w:tc>
          <w:tcPr>
            <w:tcW w:w="134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8,242</w:t>
            </w:r>
          </w:p>
        </w:tc>
        <w:tc>
          <w:tcPr>
            <w:tcW w:w="960" w:type="dxa"/>
            <w:tcBorders>
              <w:top w:val="nil"/>
              <w:left w:val="nil"/>
              <w:bottom w:val="single" w:sz="4" w:space="0" w:color="auto"/>
              <w:right w:val="single" w:sz="4" w:space="0" w:color="auto"/>
            </w:tcBorders>
            <w:shd w:val="clear" w:color="000000" w:fill="FFFFFF"/>
            <w:noWrap/>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0</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0%</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GVA</w:t>
            </w:r>
          </w:p>
        </w:tc>
        <w:tc>
          <w:tcPr>
            <w:tcW w:w="134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3.91</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20%</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Space occupied at Alderley Park (sqft)</w:t>
            </w:r>
          </w:p>
        </w:tc>
        <w:tc>
          <w:tcPr>
            <w:tcW w:w="134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18580</w:t>
            </w:r>
          </w:p>
        </w:tc>
        <w:tc>
          <w:tcPr>
            <w:tcW w:w="9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1077</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6%</w:t>
            </w:r>
          </w:p>
        </w:tc>
      </w:tr>
      <w:tr w:rsidR="00AC15F8" w:rsidRPr="00AC15F8" w:rsidTr="00AC15F8">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Learners benefitting</w:t>
            </w:r>
          </w:p>
        </w:tc>
        <w:tc>
          <w:tcPr>
            <w:tcW w:w="134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rPr>
                <w:rFonts w:ascii="Calibri" w:eastAsia="Times New Roman" w:hAnsi="Calibri" w:cs="Calibri"/>
                <w:color w:val="000000"/>
                <w:lang w:val="en-US"/>
              </w:rPr>
            </w:pPr>
            <w:r w:rsidRPr="00AC15F8">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471</w:t>
            </w:r>
          </w:p>
        </w:tc>
        <w:tc>
          <w:tcPr>
            <w:tcW w:w="960" w:type="dxa"/>
            <w:tcBorders>
              <w:top w:val="nil"/>
              <w:left w:val="nil"/>
              <w:bottom w:val="single" w:sz="4" w:space="0" w:color="auto"/>
              <w:right w:val="single" w:sz="4" w:space="0" w:color="auto"/>
            </w:tcBorders>
            <w:shd w:val="clear" w:color="000000" w:fill="FFFFFF"/>
            <w:noWrap/>
            <w:vAlign w:val="bottom"/>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49</w:t>
            </w:r>
          </w:p>
        </w:tc>
        <w:tc>
          <w:tcPr>
            <w:tcW w:w="1360" w:type="dxa"/>
            <w:tcBorders>
              <w:top w:val="nil"/>
              <w:left w:val="nil"/>
              <w:bottom w:val="single" w:sz="4" w:space="0" w:color="auto"/>
              <w:right w:val="single" w:sz="4" w:space="0" w:color="auto"/>
            </w:tcBorders>
            <w:shd w:val="clear" w:color="000000" w:fill="FFFFFF"/>
            <w:vAlign w:val="center"/>
            <w:hideMark/>
          </w:tcPr>
          <w:p w:rsidR="00AC15F8" w:rsidRPr="00AC15F8" w:rsidRDefault="00AC15F8" w:rsidP="00AC15F8">
            <w:pPr>
              <w:spacing w:after="0" w:line="240" w:lineRule="auto"/>
              <w:jc w:val="right"/>
              <w:rPr>
                <w:rFonts w:ascii="Calibri" w:eastAsia="Times New Roman" w:hAnsi="Calibri" w:cs="Calibri"/>
                <w:color w:val="000000"/>
                <w:lang w:val="en-US"/>
              </w:rPr>
            </w:pPr>
            <w:r w:rsidRPr="00AC15F8">
              <w:rPr>
                <w:rFonts w:ascii="Calibri" w:eastAsia="Times New Roman" w:hAnsi="Calibri" w:cs="Calibri"/>
                <w:color w:val="000000"/>
                <w:lang w:val="en-US"/>
              </w:rPr>
              <w:t>10%</w:t>
            </w:r>
          </w:p>
        </w:tc>
      </w:tr>
    </w:tbl>
    <w:p w:rsidR="00AC15F8" w:rsidRPr="00933DAA" w:rsidRDefault="00AC15F8" w:rsidP="00933DAA">
      <w:pPr>
        <w:jc w:val="both"/>
        <w:rPr>
          <w:rFonts w:cstheme="minorHAnsi"/>
          <w:b/>
          <w:sz w:val="24"/>
          <w:szCs w:val="24"/>
        </w:rPr>
        <w:sectPr w:rsidR="00AC15F8" w:rsidRPr="00933DAA" w:rsidSect="00EB0B96">
          <w:footerReference w:type="default" r:id="rId8"/>
          <w:pgSz w:w="11906" w:h="16838" w:code="9"/>
          <w:pgMar w:top="1440" w:right="1440" w:bottom="1440" w:left="1440" w:header="709" w:footer="709" w:gutter="0"/>
          <w:cols w:space="708"/>
          <w:docGrid w:linePitch="360"/>
        </w:sectPr>
      </w:pPr>
    </w:p>
    <w:p w:rsidR="006B40C1" w:rsidRPr="00895057" w:rsidRDefault="00933DAA" w:rsidP="00895057">
      <w:pPr>
        <w:pStyle w:val="ListParagraph"/>
        <w:numPr>
          <w:ilvl w:val="0"/>
          <w:numId w:val="21"/>
        </w:numPr>
        <w:jc w:val="both"/>
        <w:rPr>
          <w:rFonts w:cstheme="minorHAnsi"/>
          <w:b/>
          <w:sz w:val="24"/>
          <w:szCs w:val="24"/>
        </w:rPr>
      </w:pPr>
      <w:r>
        <w:rPr>
          <w:rFonts w:cstheme="minorHAnsi"/>
          <w:b/>
          <w:sz w:val="24"/>
          <w:szCs w:val="24"/>
        </w:rPr>
        <w:lastRenderedPageBreak/>
        <w:t>Risks</w:t>
      </w:r>
    </w:p>
    <w:p w:rsidR="00B64397" w:rsidRPr="00B64397" w:rsidRDefault="00FD65A2" w:rsidP="00B64397">
      <w:pPr>
        <w:pStyle w:val="ListParagraph"/>
        <w:ind w:left="360"/>
        <w:jc w:val="both"/>
        <w:rPr>
          <w:rFonts w:cstheme="minorHAnsi"/>
          <w:sz w:val="24"/>
          <w:szCs w:val="24"/>
        </w:rPr>
      </w:pPr>
      <w:r w:rsidRPr="00233FFD">
        <w:rPr>
          <w:rFonts w:cstheme="minorHAnsi"/>
          <w:sz w:val="24"/>
          <w:szCs w:val="24"/>
        </w:rPr>
        <w:t xml:space="preserve">The top operational and programme risks are </w:t>
      </w:r>
      <w:r w:rsidR="00B64397">
        <w:rPr>
          <w:rFonts w:cstheme="minorHAnsi"/>
          <w:sz w:val="24"/>
          <w:szCs w:val="24"/>
        </w:rPr>
        <w:t>shown below</w:t>
      </w:r>
      <w:r w:rsidR="00805420">
        <w:rPr>
          <w:rFonts w:cstheme="minorHAnsi"/>
          <w:sz w:val="24"/>
          <w:szCs w:val="24"/>
        </w:rPr>
        <w:t xml:space="preserve">.  </w:t>
      </w:r>
    </w:p>
    <w:p w:rsidR="00B64397" w:rsidRDefault="00B64397" w:rsidP="00A90520">
      <w:pPr>
        <w:pStyle w:val="ListParagraph"/>
        <w:ind w:left="360"/>
        <w:jc w:val="both"/>
        <w:rPr>
          <w:rFonts w:cstheme="minorHAnsi"/>
          <w:sz w:val="24"/>
          <w:szCs w:val="24"/>
        </w:rPr>
      </w:pPr>
    </w:p>
    <w:p w:rsidR="00B64397" w:rsidRPr="00AB3852" w:rsidRDefault="003F7CE2" w:rsidP="00A90520">
      <w:pPr>
        <w:pStyle w:val="ListParagraph"/>
        <w:ind w:left="360"/>
        <w:jc w:val="both"/>
        <w:rPr>
          <w:rFonts w:cstheme="minorHAnsi"/>
          <w:b/>
          <w:sz w:val="24"/>
          <w:szCs w:val="24"/>
        </w:rPr>
      </w:pPr>
      <w:r w:rsidRPr="00AB3852">
        <w:rPr>
          <w:rFonts w:cstheme="minorHAnsi"/>
          <w:b/>
          <w:sz w:val="24"/>
          <w:szCs w:val="24"/>
        </w:rPr>
        <w:t>Operational Risks</w:t>
      </w:r>
    </w:p>
    <w:tbl>
      <w:tblPr>
        <w:tblW w:w="13520" w:type="dxa"/>
        <w:tblLook w:val="04A0" w:firstRow="1" w:lastRow="0" w:firstColumn="1" w:lastColumn="0" w:noHBand="0" w:noVBand="1"/>
      </w:tblPr>
      <w:tblGrid>
        <w:gridCol w:w="623"/>
        <w:gridCol w:w="3174"/>
        <w:gridCol w:w="3602"/>
        <w:gridCol w:w="2743"/>
        <w:gridCol w:w="943"/>
        <w:gridCol w:w="1477"/>
        <w:gridCol w:w="958"/>
      </w:tblGrid>
      <w:tr w:rsidR="00AB3852" w:rsidRPr="00AB3852" w:rsidTr="00AB3852">
        <w:trPr>
          <w:trHeight w:val="720"/>
        </w:trPr>
        <w:tc>
          <w:tcPr>
            <w:tcW w:w="623"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RISK REF</w:t>
            </w:r>
          </w:p>
        </w:tc>
        <w:tc>
          <w:tcPr>
            <w:tcW w:w="6776" w:type="dxa"/>
            <w:gridSpan w:val="2"/>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RISK SCENARIO</w:t>
            </w:r>
          </w:p>
        </w:tc>
        <w:tc>
          <w:tcPr>
            <w:tcW w:w="2743"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FUTURE CONTROLS / MITIGATION MEASURES</w:t>
            </w:r>
          </w:p>
        </w:tc>
        <w:tc>
          <w:tcPr>
            <w:tcW w:w="3378" w:type="dxa"/>
            <w:gridSpan w:val="3"/>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AB3852" w:rsidRPr="00AB3852" w:rsidRDefault="00AB3852" w:rsidP="00AB3852">
            <w:pPr>
              <w:spacing w:after="0" w:line="240" w:lineRule="auto"/>
              <w:jc w:val="center"/>
              <w:rPr>
                <w:rFonts w:ascii="Calibri" w:eastAsia="Times New Roman" w:hAnsi="Calibri" w:cs="Calibri"/>
                <w:b/>
                <w:bCs/>
                <w:color w:val="FFFFFF"/>
                <w:lang w:eastAsia="en-GB"/>
              </w:rPr>
            </w:pPr>
            <w:r w:rsidRPr="00AB3852">
              <w:rPr>
                <w:rFonts w:ascii="Calibri" w:eastAsia="Times New Roman" w:hAnsi="Calibri" w:cs="Calibri"/>
                <w:b/>
                <w:bCs/>
                <w:color w:val="FFFFFF"/>
                <w:lang w:eastAsia="en-GB"/>
              </w:rPr>
              <w:t>Residual risk rating</w:t>
            </w:r>
          </w:p>
        </w:tc>
      </w:tr>
      <w:tr w:rsidR="00AB3852" w:rsidRPr="00AB3852" w:rsidTr="00AB3852">
        <w:trPr>
          <w:trHeight w:val="765"/>
        </w:trPr>
        <w:tc>
          <w:tcPr>
            <w:tcW w:w="623" w:type="dxa"/>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6776" w:type="dxa"/>
            <w:gridSpan w:val="2"/>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c>
          <w:tcPr>
            <w:tcW w:w="3378" w:type="dxa"/>
            <w:gridSpan w:val="3"/>
            <w:vMerge/>
            <w:tcBorders>
              <w:top w:val="single" w:sz="4" w:space="0" w:color="auto"/>
              <w:left w:val="single" w:sz="4" w:space="0" w:color="auto"/>
              <w:bottom w:val="single" w:sz="4" w:space="0" w:color="auto"/>
              <w:right w:val="single" w:sz="4" w:space="0" w:color="auto"/>
            </w:tcBorders>
            <w:vAlign w:val="center"/>
            <w:hideMark/>
          </w:tcPr>
          <w:p w:rsidR="00AB3852" w:rsidRPr="00AB3852" w:rsidRDefault="00AB3852" w:rsidP="00AB3852">
            <w:pPr>
              <w:spacing w:after="0" w:line="240" w:lineRule="auto"/>
              <w:rPr>
                <w:rFonts w:ascii="Calibri" w:eastAsia="Times New Roman" w:hAnsi="Calibri" w:cs="Calibri"/>
                <w:b/>
                <w:bCs/>
                <w:color w:val="FFFFFF"/>
                <w:lang w:eastAsia="en-GB"/>
              </w:rPr>
            </w:pPr>
          </w:p>
        </w:tc>
      </w:tr>
      <w:tr w:rsidR="00AB3852" w:rsidRPr="00AB3852" w:rsidTr="00AB3852">
        <w:trPr>
          <w:trHeight w:val="765"/>
        </w:trPr>
        <w:tc>
          <w:tcPr>
            <w:tcW w:w="623" w:type="dxa"/>
            <w:tcBorders>
              <w:top w:val="nil"/>
              <w:left w:val="single" w:sz="4" w:space="0" w:color="auto"/>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 </w:t>
            </w:r>
          </w:p>
        </w:tc>
        <w:tc>
          <w:tcPr>
            <w:tcW w:w="3174"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RISK</w:t>
            </w:r>
          </w:p>
        </w:tc>
        <w:tc>
          <w:tcPr>
            <w:tcW w:w="3602"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IMPACT</w:t>
            </w:r>
          </w:p>
        </w:tc>
        <w:tc>
          <w:tcPr>
            <w:tcW w:w="2743"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 </w:t>
            </w:r>
          </w:p>
        </w:tc>
        <w:tc>
          <w:tcPr>
            <w:tcW w:w="943"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IMPACT {1-5}</w:t>
            </w:r>
          </w:p>
        </w:tc>
        <w:tc>
          <w:tcPr>
            <w:tcW w:w="1477" w:type="dxa"/>
            <w:tcBorders>
              <w:top w:val="nil"/>
              <w:left w:val="nil"/>
              <w:bottom w:val="single" w:sz="4" w:space="0" w:color="auto"/>
              <w:right w:val="single" w:sz="4" w:space="0" w:color="auto"/>
            </w:tcBorders>
            <w:shd w:val="clear" w:color="000000" w:fill="B1A0C7"/>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LIKELIHOOD {1-5}</w:t>
            </w:r>
          </w:p>
        </w:tc>
        <w:tc>
          <w:tcPr>
            <w:tcW w:w="95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AB3852" w:rsidRPr="00AB3852" w:rsidRDefault="00AB3852" w:rsidP="00AB3852">
            <w:pPr>
              <w:spacing w:after="0" w:line="240" w:lineRule="auto"/>
              <w:jc w:val="center"/>
              <w:rPr>
                <w:rFonts w:ascii="Calibri" w:eastAsia="Times New Roman" w:hAnsi="Calibri" w:cs="Calibri"/>
                <w:b/>
                <w:bCs/>
                <w:lang w:eastAsia="en-GB"/>
              </w:rPr>
            </w:pPr>
            <w:r w:rsidRPr="00AB3852">
              <w:rPr>
                <w:rFonts w:ascii="Calibri" w:eastAsia="Times New Roman" w:hAnsi="Calibri" w:cs="Calibri"/>
                <w:b/>
                <w:bCs/>
                <w:lang w:eastAsia="en-GB"/>
              </w:rPr>
              <w:t>TOTAL</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20</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Current political landscape and lack of clear support for LEPs from opposition creates risks to delivery of economic development projects in Cheshire and War</w:t>
            </w:r>
            <w:r>
              <w:rPr>
                <w:rFonts w:ascii="Calibri" w:eastAsia="Times New Roman" w:hAnsi="Calibri" w:cs="Calibri"/>
                <w:lang w:eastAsia="en-GB"/>
              </w:rPr>
              <w:t>r</w:t>
            </w:r>
            <w:r w:rsidRPr="00AB3852">
              <w:rPr>
                <w:rFonts w:ascii="Calibri" w:eastAsia="Times New Roman" w:hAnsi="Calibri" w:cs="Calibri"/>
                <w:lang w:eastAsia="en-GB"/>
              </w:rPr>
              <w:t>ington.  May take significant time to transfer delivery to another body.</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LEP potentially would have to be wound up and delivery of projects and realisation of benefits could be delayed.</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Promote the LEP achievements and its effectiveness at delivering regeneration.</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5</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15</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auto" w:fill="auto"/>
            <w:hideMark/>
          </w:tcPr>
          <w:p w:rsidR="00AB3852" w:rsidRPr="00AB3852" w:rsidRDefault="00AB3852" w:rsidP="00AB3852">
            <w:pPr>
              <w:spacing w:after="0" w:line="240" w:lineRule="auto"/>
              <w:jc w:val="right"/>
              <w:rPr>
                <w:rFonts w:ascii="Calibri" w:eastAsia="Times New Roman" w:hAnsi="Calibri" w:cs="Calibri"/>
                <w:lang w:eastAsia="en-GB"/>
              </w:rPr>
            </w:pPr>
            <w:r w:rsidRPr="00AB3852">
              <w:rPr>
                <w:rFonts w:ascii="Calibri" w:eastAsia="Times New Roman" w:hAnsi="Calibri" w:cs="Calibri"/>
                <w:lang w:eastAsia="en-GB"/>
              </w:rPr>
              <w:t>48</w:t>
            </w:r>
          </w:p>
        </w:tc>
        <w:tc>
          <w:tcPr>
            <w:tcW w:w="3174" w:type="dxa"/>
            <w:tcBorders>
              <w:top w:val="nil"/>
              <w:left w:val="nil"/>
              <w:bottom w:val="single" w:sz="4" w:space="0" w:color="auto"/>
              <w:right w:val="single" w:sz="4" w:space="0" w:color="auto"/>
            </w:tcBorders>
            <w:shd w:val="clear" w:color="auto" w:fill="auto"/>
            <w:noWrap/>
            <w:vAlign w:val="bottom"/>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Criticism of credit card transactions</w:t>
            </w:r>
          </w:p>
        </w:tc>
        <w:tc>
          <w:tcPr>
            <w:tcW w:w="3602" w:type="dxa"/>
            <w:tcBorders>
              <w:top w:val="nil"/>
              <w:left w:val="nil"/>
              <w:bottom w:val="single" w:sz="4" w:space="0" w:color="auto"/>
              <w:right w:val="single" w:sz="4" w:space="0" w:color="auto"/>
            </w:tcBorders>
            <w:shd w:val="clear" w:color="auto" w:fill="auto"/>
            <w:vAlign w:val="bottom"/>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Reputational damage to the company and questions over transparency of process and impropriety could be raised.</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Clear policy on the purchase of Alcohol and corporate entertainment.  Add notes to credit card statements with details of event attended and who was present when there are transactions for hospitality.</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4</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12</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lastRenderedPageBreak/>
              <w:t>36</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Not complying with the General Data Protection regulation</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Could lead to legal action against the LEP by not conforming.</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Review current data held and update how information is held so compliant</w:t>
            </w:r>
            <w:r w:rsidR="0046416C">
              <w:rPr>
                <w:rFonts w:ascii="Calibri" w:eastAsia="Times New Roman" w:hAnsi="Calibri" w:cs="Calibri"/>
                <w:lang w:eastAsia="en-GB"/>
              </w:rPr>
              <w:t xml:space="preserve">.  CEC to </w:t>
            </w:r>
            <w:r w:rsidRPr="00AB3852">
              <w:rPr>
                <w:rFonts w:ascii="Calibri" w:eastAsia="Times New Roman" w:hAnsi="Calibri" w:cs="Calibri"/>
                <w:lang w:eastAsia="en-GB"/>
              </w:rPr>
              <w:t>come in and review what info the LEP holds and make recommendations for how the LEP manages info.</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4</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12</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34</w:t>
            </w:r>
          </w:p>
        </w:tc>
        <w:tc>
          <w:tcPr>
            <w:tcW w:w="3174" w:type="dxa"/>
            <w:tcBorders>
              <w:top w:val="nil"/>
              <w:left w:val="nil"/>
              <w:bottom w:val="single" w:sz="4" w:space="0" w:color="auto"/>
              <w:right w:val="single" w:sz="4" w:space="0" w:color="auto"/>
            </w:tcBorders>
            <w:shd w:val="clear" w:color="000000" w:fill="FFFFFF"/>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Loss of key staff</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Causes continuity issues, loss of knowledge and reduction in delivery capability while new staff and employed and get up to speed. Unable to carry out key tasks. E.g. counter sign payments and contracts.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Have adequate approved delegation limits and signatories.  Make sure staff don't operate in a vacuum and that key tasks are understood by at least one other member of staff. E.g. how to use the claims system (LOGASNET) or payment systems.  Look at developing fo</w:t>
            </w:r>
            <w:r>
              <w:rPr>
                <w:rFonts w:ascii="Calibri" w:eastAsia="Times New Roman" w:hAnsi="Calibri" w:cs="Calibri"/>
                <w:lang w:eastAsia="en-GB"/>
              </w:rPr>
              <w:t>r</w:t>
            </w:r>
            <w:r w:rsidRPr="00AB3852">
              <w:rPr>
                <w:rFonts w:ascii="Calibri" w:eastAsia="Times New Roman" w:hAnsi="Calibri" w:cs="Calibri"/>
                <w:lang w:eastAsia="en-GB"/>
              </w:rPr>
              <w:t>mal programme to ensure we have ability to cope in short term with loss of member of staff.</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38</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Key stakeholders become disengaged</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Loss of relationships and potential influence and support for the LEP activities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Review and update stakeholder management plan. Establish a communications committee</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lastRenderedPageBreak/>
              <w:t>29</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 xml:space="preserve">Loss of core funding/ Uncertainty about funding from year to year impacts on staff retention. </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Staff don't feel secure in their jobs which could lead to a higher than expected staff turnover, loss of expertise and increase in recruitment costs</w:t>
            </w:r>
          </w:p>
        </w:tc>
        <w:tc>
          <w:tcPr>
            <w:tcW w:w="2743" w:type="dxa"/>
            <w:tcBorders>
              <w:top w:val="nil"/>
              <w:left w:val="nil"/>
              <w:bottom w:val="single" w:sz="4" w:space="0" w:color="auto"/>
              <w:right w:val="single" w:sz="4" w:space="0" w:color="auto"/>
            </w:tcBorders>
            <w:shd w:val="clear" w:color="000000" w:fill="FFFFFF"/>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 xml:space="preserve">Look at developing other funding streams and developing an operational surplus to provide a contingency. Funding now confirmed for two years. </w:t>
            </w:r>
            <w:proofErr w:type="spellStart"/>
            <w:r w:rsidRPr="00AB3852">
              <w:rPr>
                <w:rFonts w:ascii="Calibri" w:eastAsia="Times New Roman" w:hAnsi="Calibri" w:cs="Calibri"/>
                <w:lang w:eastAsia="en-GB"/>
              </w:rPr>
              <w:t>Build up</w:t>
            </w:r>
            <w:proofErr w:type="spellEnd"/>
            <w:r w:rsidRPr="00AB3852">
              <w:rPr>
                <w:rFonts w:ascii="Calibri" w:eastAsia="Times New Roman" w:hAnsi="Calibri" w:cs="Calibri"/>
                <w:lang w:eastAsia="en-GB"/>
              </w:rPr>
              <w:t xml:space="preserve"> EZ reserves to give provide appropriate cushion.</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r w:rsidR="00AB3852" w:rsidRPr="00AB3852" w:rsidTr="00AB3852">
        <w:trPr>
          <w:trHeight w:val="1470"/>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27</w:t>
            </w:r>
          </w:p>
        </w:tc>
        <w:tc>
          <w:tcPr>
            <w:tcW w:w="3174"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Not delivering programme level outputs</w:t>
            </w:r>
          </w:p>
        </w:tc>
        <w:tc>
          <w:tcPr>
            <w:tcW w:w="3602"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Reputational damage and impact of future awards of funding.  Clawback/repayment of grants</w:t>
            </w:r>
          </w:p>
        </w:tc>
        <w:tc>
          <w:tcPr>
            <w:tcW w:w="2743" w:type="dxa"/>
            <w:tcBorders>
              <w:top w:val="nil"/>
              <w:left w:val="nil"/>
              <w:bottom w:val="single" w:sz="4" w:space="0" w:color="auto"/>
              <w:right w:val="single" w:sz="4" w:space="0" w:color="auto"/>
            </w:tcBorders>
            <w:shd w:val="clear" w:color="auto" w:fill="auto"/>
            <w:hideMark/>
          </w:tcPr>
          <w:p w:rsidR="00AB3852" w:rsidRPr="00AB3852" w:rsidRDefault="00AB3852" w:rsidP="00AB3852">
            <w:pPr>
              <w:spacing w:after="0" w:line="240" w:lineRule="auto"/>
              <w:rPr>
                <w:rFonts w:ascii="Calibri" w:eastAsia="Times New Roman" w:hAnsi="Calibri" w:cs="Calibri"/>
                <w:lang w:eastAsia="en-GB"/>
              </w:rPr>
            </w:pPr>
            <w:r w:rsidRPr="00AB3852">
              <w:rPr>
                <w:rFonts w:ascii="Calibri" w:eastAsia="Times New Roman" w:hAnsi="Calibri" w:cs="Calibri"/>
                <w:lang w:eastAsia="en-GB"/>
              </w:rPr>
              <w:t>Ongoing monitoring and early identification of any slippage. Consider how projects are contracted robustly.</w:t>
            </w:r>
          </w:p>
        </w:tc>
        <w:tc>
          <w:tcPr>
            <w:tcW w:w="943"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1477" w:type="dxa"/>
            <w:tcBorders>
              <w:top w:val="nil"/>
              <w:left w:val="nil"/>
              <w:bottom w:val="single" w:sz="4" w:space="0" w:color="auto"/>
              <w:right w:val="single" w:sz="4" w:space="0" w:color="auto"/>
            </w:tcBorders>
            <w:shd w:val="clear" w:color="auto" w:fill="auto"/>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3</w:t>
            </w:r>
          </w:p>
        </w:tc>
        <w:tc>
          <w:tcPr>
            <w:tcW w:w="9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B3852" w:rsidRPr="00AB3852" w:rsidRDefault="00AB3852" w:rsidP="00AB3852">
            <w:pPr>
              <w:spacing w:after="0" w:line="240" w:lineRule="auto"/>
              <w:jc w:val="center"/>
              <w:rPr>
                <w:rFonts w:ascii="Calibri" w:eastAsia="Times New Roman" w:hAnsi="Calibri" w:cs="Calibri"/>
                <w:lang w:eastAsia="en-GB"/>
              </w:rPr>
            </w:pPr>
            <w:r w:rsidRPr="00AB3852">
              <w:rPr>
                <w:rFonts w:ascii="Calibri" w:eastAsia="Times New Roman" w:hAnsi="Calibri" w:cs="Calibri"/>
                <w:lang w:eastAsia="en-GB"/>
              </w:rPr>
              <w:t>9</w:t>
            </w:r>
          </w:p>
        </w:tc>
      </w:tr>
    </w:tbl>
    <w:p w:rsidR="00F21FDF" w:rsidRDefault="00F21FDF" w:rsidP="00D63FB4">
      <w:pPr>
        <w:rPr>
          <w:rFonts w:cstheme="minorHAnsi"/>
          <w:b/>
          <w:sz w:val="24"/>
          <w:szCs w:val="24"/>
        </w:rPr>
      </w:pPr>
    </w:p>
    <w:p w:rsidR="00A90520" w:rsidRDefault="00A90520"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p w:rsidR="00B64397" w:rsidRDefault="00B64397" w:rsidP="00D63FB4">
      <w:pPr>
        <w:rPr>
          <w:rFonts w:cstheme="minorHAnsi"/>
          <w:b/>
          <w:sz w:val="24"/>
          <w:szCs w:val="24"/>
        </w:rPr>
      </w:pPr>
    </w:p>
    <w:tbl>
      <w:tblPr>
        <w:tblpPr w:leftFromText="180" w:rightFromText="180" w:vertAnchor="text" w:horzAnchor="margin" w:tblpXSpec="center" w:tblpY="-1439"/>
        <w:tblW w:w="15500" w:type="dxa"/>
        <w:tblLook w:val="04A0" w:firstRow="1" w:lastRow="0" w:firstColumn="1" w:lastColumn="0" w:noHBand="0" w:noVBand="1"/>
      </w:tblPr>
      <w:tblGrid>
        <w:gridCol w:w="737"/>
        <w:gridCol w:w="3442"/>
        <w:gridCol w:w="3976"/>
        <w:gridCol w:w="4115"/>
        <w:gridCol w:w="957"/>
        <w:gridCol w:w="1323"/>
        <w:gridCol w:w="950"/>
      </w:tblGrid>
      <w:tr w:rsidR="002A6295" w:rsidRPr="002A6295" w:rsidTr="002A6295">
        <w:trPr>
          <w:trHeight w:val="269"/>
        </w:trPr>
        <w:tc>
          <w:tcPr>
            <w:tcW w:w="737" w:type="dxa"/>
            <w:vMerge w:val="restart"/>
            <w:tcBorders>
              <w:top w:val="single" w:sz="4" w:space="0" w:color="auto"/>
              <w:left w:val="single" w:sz="4" w:space="0" w:color="auto"/>
              <w:bottom w:val="single" w:sz="4" w:space="0" w:color="000000"/>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lastRenderedPageBreak/>
              <w:t>RISK REF</w:t>
            </w:r>
          </w:p>
        </w:tc>
        <w:tc>
          <w:tcPr>
            <w:tcW w:w="7418" w:type="dxa"/>
            <w:gridSpan w:val="2"/>
            <w:vMerge w:val="restart"/>
            <w:tcBorders>
              <w:top w:val="single" w:sz="4" w:space="0" w:color="auto"/>
              <w:left w:val="single" w:sz="4" w:space="0" w:color="auto"/>
              <w:bottom w:val="single" w:sz="4" w:space="0" w:color="000000"/>
              <w:right w:val="single" w:sz="4" w:space="0" w:color="000000"/>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RISK SCENARIO</w:t>
            </w:r>
          </w:p>
        </w:tc>
        <w:tc>
          <w:tcPr>
            <w:tcW w:w="4115" w:type="dxa"/>
            <w:vMerge w:val="restart"/>
            <w:tcBorders>
              <w:top w:val="single" w:sz="4" w:space="0" w:color="auto"/>
              <w:left w:val="single" w:sz="4" w:space="0" w:color="auto"/>
              <w:bottom w:val="single" w:sz="4" w:space="0" w:color="auto"/>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FUTURE CONTROLS / MITIGATION MEASURES</w:t>
            </w:r>
          </w:p>
        </w:tc>
        <w:tc>
          <w:tcPr>
            <w:tcW w:w="3230" w:type="dxa"/>
            <w:gridSpan w:val="3"/>
            <w:vMerge w:val="restart"/>
            <w:tcBorders>
              <w:top w:val="single" w:sz="4" w:space="0" w:color="auto"/>
              <w:left w:val="single" w:sz="4" w:space="0" w:color="auto"/>
              <w:bottom w:val="single" w:sz="4" w:space="0" w:color="auto"/>
              <w:right w:val="single" w:sz="4" w:space="0" w:color="auto"/>
            </w:tcBorders>
            <w:shd w:val="clear" w:color="000000" w:fill="800080"/>
            <w:vAlign w:val="center"/>
            <w:hideMark/>
          </w:tcPr>
          <w:p w:rsidR="002A6295" w:rsidRPr="002A6295" w:rsidRDefault="002A6295" w:rsidP="002A6295">
            <w:pPr>
              <w:spacing w:after="0" w:line="240" w:lineRule="auto"/>
              <w:jc w:val="center"/>
              <w:rPr>
                <w:rFonts w:eastAsia="Times New Roman" w:cstheme="minorHAnsi"/>
                <w:b/>
                <w:bCs/>
                <w:color w:val="FFFFFF"/>
                <w:lang w:eastAsia="en-GB"/>
              </w:rPr>
            </w:pPr>
            <w:r w:rsidRPr="002A6295">
              <w:rPr>
                <w:rFonts w:eastAsia="Times New Roman" w:cstheme="minorHAnsi"/>
                <w:b/>
                <w:bCs/>
                <w:color w:val="FFFFFF"/>
                <w:lang w:eastAsia="en-GB"/>
              </w:rPr>
              <w:t>FUTURE RISK RATING</w:t>
            </w:r>
          </w:p>
        </w:tc>
      </w:tr>
      <w:tr w:rsidR="002A6295" w:rsidRPr="002A6295" w:rsidTr="002A6295">
        <w:trPr>
          <w:trHeight w:val="450"/>
        </w:trPr>
        <w:tc>
          <w:tcPr>
            <w:tcW w:w="737" w:type="dxa"/>
            <w:vMerge/>
            <w:tcBorders>
              <w:top w:val="single" w:sz="4" w:space="0" w:color="auto"/>
              <w:left w:val="single" w:sz="4" w:space="0" w:color="auto"/>
              <w:bottom w:val="single" w:sz="4" w:space="0" w:color="000000"/>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7418" w:type="dxa"/>
            <w:gridSpan w:val="2"/>
            <w:vMerge/>
            <w:tcBorders>
              <w:top w:val="single" w:sz="4" w:space="0" w:color="auto"/>
              <w:left w:val="single" w:sz="4" w:space="0" w:color="auto"/>
              <w:bottom w:val="single" w:sz="4" w:space="0" w:color="000000"/>
              <w:right w:val="single" w:sz="4" w:space="0" w:color="000000"/>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hideMark/>
          </w:tcPr>
          <w:p w:rsidR="002A6295" w:rsidRPr="002A6295" w:rsidRDefault="002A6295" w:rsidP="002A6295">
            <w:pPr>
              <w:spacing w:after="0" w:line="240" w:lineRule="auto"/>
              <w:rPr>
                <w:rFonts w:eastAsia="Times New Roman" w:cstheme="minorHAnsi"/>
                <w:b/>
                <w:bCs/>
                <w:color w:val="FFFFFF"/>
                <w:lang w:eastAsia="en-GB"/>
              </w:rPr>
            </w:pPr>
          </w:p>
        </w:tc>
      </w:tr>
      <w:tr w:rsidR="002A6295" w:rsidRPr="002A6295" w:rsidTr="002A6295">
        <w:trPr>
          <w:trHeight w:val="510"/>
        </w:trPr>
        <w:tc>
          <w:tcPr>
            <w:tcW w:w="737" w:type="dxa"/>
            <w:tcBorders>
              <w:top w:val="nil"/>
              <w:left w:val="single" w:sz="4" w:space="0" w:color="auto"/>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 </w:t>
            </w:r>
          </w:p>
        </w:tc>
        <w:tc>
          <w:tcPr>
            <w:tcW w:w="3442"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RISK</w:t>
            </w:r>
          </w:p>
        </w:tc>
        <w:tc>
          <w:tcPr>
            <w:tcW w:w="3976"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IMPACT</w:t>
            </w:r>
          </w:p>
        </w:tc>
        <w:tc>
          <w:tcPr>
            <w:tcW w:w="4115"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 </w:t>
            </w:r>
          </w:p>
        </w:tc>
        <w:tc>
          <w:tcPr>
            <w:tcW w:w="957"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IMPACT {1-5}</w:t>
            </w:r>
          </w:p>
        </w:tc>
        <w:tc>
          <w:tcPr>
            <w:tcW w:w="1323" w:type="dxa"/>
            <w:tcBorders>
              <w:top w:val="nil"/>
              <w:left w:val="nil"/>
              <w:bottom w:val="single" w:sz="4" w:space="0" w:color="auto"/>
              <w:right w:val="single" w:sz="4" w:space="0" w:color="auto"/>
            </w:tcBorders>
            <w:shd w:val="clear" w:color="000000" w:fill="CC99FF"/>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LIKELIHOOD {1-5}</w:t>
            </w:r>
          </w:p>
        </w:tc>
        <w:tc>
          <w:tcPr>
            <w:tcW w:w="950" w:type="dxa"/>
            <w:tcBorders>
              <w:top w:val="nil"/>
              <w:left w:val="nil"/>
              <w:bottom w:val="single" w:sz="4" w:space="0" w:color="auto"/>
              <w:right w:val="single" w:sz="4" w:space="0" w:color="auto"/>
            </w:tcBorders>
            <w:shd w:val="clear" w:color="000000" w:fill="CC99FF"/>
            <w:vAlign w:val="center"/>
            <w:hideMark/>
          </w:tcPr>
          <w:p w:rsidR="002A6295" w:rsidRPr="002A6295" w:rsidRDefault="002A6295" w:rsidP="002A6295">
            <w:pPr>
              <w:spacing w:after="0" w:line="240" w:lineRule="auto"/>
              <w:jc w:val="center"/>
              <w:rPr>
                <w:rFonts w:eastAsia="Times New Roman" w:cstheme="minorHAnsi"/>
                <w:b/>
                <w:bCs/>
                <w:lang w:eastAsia="en-GB"/>
              </w:rPr>
            </w:pPr>
            <w:r w:rsidRPr="002A6295">
              <w:rPr>
                <w:rFonts w:eastAsia="Times New Roman" w:cstheme="minorHAnsi"/>
                <w:b/>
                <w:bCs/>
                <w:lang w:eastAsia="en-GB"/>
              </w:rPr>
              <w:t>TOTAL</w:t>
            </w:r>
          </w:p>
        </w:tc>
      </w:tr>
      <w:tr w:rsidR="002A6295" w:rsidRPr="002A6295" w:rsidTr="002A6295">
        <w:trPr>
          <w:trHeight w:val="357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b/>
                <w:bCs/>
                <w:lang w:eastAsia="en-GB"/>
              </w:rPr>
              <w:t>Delivery of the projects to meet financial and output targets in a timely manner</w:t>
            </w:r>
            <w:r w:rsidRPr="002A6295">
              <w:rPr>
                <w:rFonts w:eastAsia="Times New Roman" w:cstheme="minorHAnsi"/>
                <w:lang w:eastAsia="en-GB"/>
              </w:rPr>
              <w:t xml:space="preserve"> are adversely affected by changes to factors such as partner staffing resources, capacity or skills, planning or environmental issues, construction related factors, or financial issues, which could result in delays to projects and/or the programme success given the sensitivity of the programme on a small number of key projects.</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Projects and/or programme does not deliver cost or quality requirements on time and fails to achieve the targeted outputs and outcomes within the Growth Deal timeframe.</w:t>
            </w:r>
            <w:r w:rsidRPr="002A6295">
              <w:rPr>
                <w:rFonts w:eastAsia="Times New Roman" w:cstheme="minorHAnsi"/>
                <w:lang w:eastAsia="en-GB"/>
              </w:rPr>
              <w:br/>
              <w:t xml:space="preserve">Potential to damage relationships with the LEP. </w:t>
            </w:r>
            <w:r w:rsidRPr="002A6295">
              <w:rPr>
                <w:rFonts w:eastAsia="Times New Roman" w:cstheme="minorHAnsi"/>
                <w:lang w:eastAsia="en-GB"/>
              </w:rPr>
              <w:br/>
              <w:t xml:space="preserve">Reputation of the </w:t>
            </w:r>
            <w:proofErr w:type="gramStart"/>
            <w:r w:rsidRPr="002A6295">
              <w:rPr>
                <w:rFonts w:eastAsia="Times New Roman" w:cstheme="minorHAnsi"/>
                <w:lang w:eastAsia="en-GB"/>
              </w:rPr>
              <w:t>LEP  as</w:t>
            </w:r>
            <w:proofErr w:type="gramEnd"/>
            <w:r w:rsidRPr="002A6295">
              <w:rPr>
                <w:rFonts w:eastAsia="Times New Roman" w:cstheme="minorHAnsi"/>
                <w:lang w:eastAsia="en-GB"/>
              </w:rPr>
              <w:t xml:space="preserve"> able to deliver bids submitted to Government is negatively affected.</w:t>
            </w:r>
            <w:r w:rsidRPr="002A6295">
              <w:rPr>
                <w:rFonts w:eastAsia="Times New Roman" w:cstheme="minorHAnsi"/>
                <w:lang w:eastAsia="en-GB"/>
              </w:rPr>
              <w:br/>
              <w:t>DCLG could potentially take back flexibilities given to manage the LGF Programme.</w:t>
            </w:r>
            <w:r w:rsidRPr="002A6295">
              <w:rPr>
                <w:rFonts w:eastAsia="Times New Roman" w:cstheme="minorHAnsi"/>
                <w:lang w:eastAsia="en-GB"/>
              </w:rPr>
              <w:br/>
              <w:t>Could affect the award of future funding to the LEP.</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Look at revising the offer letter to put stiffer penalties in place for </w:t>
            </w:r>
            <w:r w:rsidR="0046416C" w:rsidRPr="002A6295">
              <w:rPr>
                <w:rFonts w:eastAsia="Times New Roman" w:cstheme="minorHAnsi"/>
                <w:lang w:eastAsia="en-GB"/>
              </w:rPr>
              <w:t>non-achievement</w:t>
            </w:r>
            <w:r w:rsidRPr="002A6295">
              <w:rPr>
                <w:rFonts w:eastAsia="Times New Roman" w:cstheme="minorHAnsi"/>
                <w:lang w:eastAsia="en-GB"/>
              </w:rPr>
              <w:t xml:space="preserve"> of outputs.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357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2</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Overall programme performance impacted by poor performance of the Major transport Projects</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LGF programme does not realise its economic growth targets due to nature of focus of Department of Transport objectives versus LGF outputs/outcomes.                                                                                        Achievement of the aims and objectives of the programme adversely affected by any significant issue or risk in any one of the projects.</w:t>
            </w:r>
            <w:r w:rsidRPr="002A6295">
              <w:rPr>
                <w:rFonts w:eastAsia="Times New Roman" w:cstheme="minorHAnsi"/>
                <w:lang w:eastAsia="en-GB"/>
              </w:rPr>
              <w:br/>
              <w:t>Reputation of CWLEP to deliver is adversely affected due to the scale of the transport scheme projects.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 Agreement with </w:t>
            </w:r>
            <w:proofErr w:type="spellStart"/>
            <w:r w:rsidRPr="002A6295">
              <w:rPr>
                <w:rFonts w:eastAsia="Times New Roman" w:cstheme="minorHAnsi"/>
                <w:lang w:eastAsia="en-GB"/>
              </w:rPr>
              <w:t>DfT</w:t>
            </w:r>
            <w:proofErr w:type="spellEnd"/>
            <w:r w:rsidRPr="002A6295">
              <w:rPr>
                <w:rFonts w:eastAsia="Times New Roman" w:cstheme="minorHAnsi"/>
                <w:lang w:eastAsia="en-GB"/>
              </w:rPr>
              <w:t xml:space="preserve"> and grant recipients on monitoring and reporting requirements against LGF targets.</w:t>
            </w:r>
            <w:r w:rsidRPr="002A6295">
              <w:rPr>
                <w:rFonts w:eastAsia="Times New Roman" w:cstheme="minorHAnsi"/>
                <w:lang w:eastAsia="en-GB"/>
              </w:rPr>
              <w:br/>
              <w:t xml:space="preserve">- Work with </w:t>
            </w:r>
            <w:proofErr w:type="spellStart"/>
            <w:r w:rsidRPr="002A6295">
              <w:rPr>
                <w:rFonts w:eastAsia="Times New Roman" w:cstheme="minorHAnsi"/>
                <w:lang w:eastAsia="en-GB"/>
              </w:rPr>
              <w:t>DfT</w:t>
            </w:r>
            <w:proofErr w:type="spellEnd"/>
            <w:r w:rsidRPr="002A6295">
              <w:rPr>
                <w:rFonts w:eastAsia="Times New Roman" w:cstheme="minorHAnsi"/>
                <w:lang w:eastAsia="en-GB"/>
              </w:rPr>
              <w:t xml:space="preserve"> to understand the funding conditions and any conditions/clawback if the non-transport outputs are not achieved.</w:t>
            </w:r>
            <w:r w:rsidRPr="002A6295">
              <w:rPr>
                <w:rFonts w:eastAsia="Times New Roman" w:cstheme="minorHAnsi"/>
                <w:lang w:eastAsia="en-GB"/>
              </w:rPr>
              <w:br/>
              <w:t>- Explore to tie in stronger penalties to non-achievement of outputs to the funding offer.</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306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lastRenderedPageBreak/>
              <w:t>3</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Lack of suitable projects and/or appropriate match funding to </w:t>
            </w:r>
            <w:r w:rsidRPr="002A6295">
              <w:rPr>
                <w:rFonts w:eastAsia="Times New Roman" w:cstheme="minorHAnsi"/>
                <w:b/>
                <w:bCs/>
                <w:lang w:eastAsia="en-GB"/>
              </w:rPr>
              <w:t>form ESIF programme pipeline</w:t>
            </w:r>
            <w:r w:rsidRPr="002A6295">
              <w:rPr>
                <w:rFonts w:eastAsia="Times New Roman" w:cstheme="minorHAnsi"/>
                <w:lang w:eastAsia="en-GB"/>
              </w:rPr>
              <w:t xml:space="preserve"> to meet eligible criteria including meeting cross cutting thematic objectives and revised Treasury deadline of March 2018 for final project submissions. Flexibility or delay in decisions to use of LGF3 as match. Lack of partner support to deploy remaining funds and sources of match funding particularly under the European Social Fund.</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ESIF programme does not meet its outputs/outcomes which could result in loss of funding for the sub region.                                                                                                                            Damage to LEP reputation and credibility both locally and nationally as well as with Government which could impact on consideration for future funding rounds i.e. the future prosperity fund.</w:t>
            </w:r>
            <w:r w:rsidRPr="002A6295">
              <w:rPr>
                <w:rFonts w:eastAsia="Times New Roman" w:cstheme="minorHAnsi"/>
                <w:lang w:eastAsia="en-GB"/>
              </w:rPr>
              <w:br/>
              <w:t>Loss of funding to the Sub Region to support delivery of growth, jobs and businesses in Cheshire and Warrington and delivery of SEP.</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Consider more </w:t>
            </w:r>
            <w:proofErr w:type="gramStart"/>
            <w:r w:rsidRPr="002A6295">
              <w:rPr>
                <w:rFonts w:eastAsia="Times New Roman" w:cstheme="minorHAnsi"/>
                <w:lang w:eastAsia="en-GB"/>
              </w:rPr>
              <w:t>long term</w:t>
            </w:r>
            <w:proofErr w:type="gramEnd"/>
            <w:r w:rsidRPr="002A6295">
              <w:rPr>
                <w:rFonts w:eastAsia="Times New Roman" w:cstheme="minorHAnsi"/>
                <w:lang w:eastAsia="en-GB"/>
              </w:rPr>
              <w:t xml:space="preserve"> staffing arrangements.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4</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12</w:t>
            </w:r>
          </w:p>
        </w:tc>
      </w:tr>
      <w:tr w:rsidR="002A6295" w:rsidRPr="002A6295" w:rsidTr="002A6295">
        <w:trPr>
          <w:trHeight w:val="153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7</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Failure to implement the seven recommendations of the </w:t>
            </w:r>
            <w:r w:rsidRPr="002A6295">
              <w:rPr>
                <w:rFonts w:eastAsia="Times New Roman" w:cstheme="minorHAnsi"/>
                <w:b/>
                <w:bCs/>
                <w:lang w:eastAsia="en-GB"/>
              </w:rPr>
              <w:t>ABR Review</w:t>
            </w:r>
            <w:r w:rsidRPr="002A6295">
              <w:rPr>
                <w:rFonts w:eastAsia="Times New Roman" w:cstheme="minorHAnsi"/>
                <w:lang w:eastAsia="en-GB"/>
              </w:rPr>
              <w:t xml:space="preserve"> of </w:t>
            </w:r>
            <w:proofErr w:type="gramStart"/>
            <w:r w:rsidRPr="002A6295">
              <w:rPr>
                <w:rFonts w:eastAsia="Times New Roman" w:cstheme="minorHAnsi"/>
                <w:lang w:eastAsia="en-GB"/>
              </w:rPr>
              <w:t>FE  has</w:t>
            </w:r>
            <w:proofErr w:type="gramEnd"/>
            <w:r w:rsidRPr="002A6295">
              <w:rPr>
                <w:rFonts w:eastAsia="Times New Roman" w:cstheme="minorHAnsi"/>
                <w:lang w:eastAsia="en-GB"/>
              </w:rPr>
              <w:t xml:space="preserve"> a detrimental effect on the delivery of FE skills provision across Cheshire and Warrington..</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 benefits to employers, learners, the colleges and the economy more generally will not be achieved.</w:t>
            </w:r>
          </w:p>
        </w:tc>
        <w:tc>
          <w:tcPr>
            <w:tcW w:w="4115" w:type="dxa"/>
            <w:tcBorders>
              <w:top w:val="nil"/>
              <w:left w:val="nil"/>
              <w:bottom w:val="single" w:sz="4" w:space="0" w:color="auto"/>
              <w:right w:val="single" w:sz="4" w:space="0" w:color="auto"/>
            </w:tcBorders>
            <w:shd w:val="clear" w:color="000000" w:fill="FFFFFF"/>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 Strategic Forum will work to achieve the political buy-in to the implementation</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t>31</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Ellesmere Port Estate project significantly delayed and or reduced in scale</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Would need to find another project to take up spend, which will get increasingly harder as time passes.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Potentially need to find new "off the shelf" project that could achieve spend and necessary outputs within LGF timescales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42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t>33</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Fragility of current government means that there is a risk the government could change and lead to a change in policy regarding LEPs.</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Change in funding and support for LEPs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Continue to promote the work of the LEP and engage counsellors and MPs from all parties.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99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A6295" w:rsidRPr="002A6295" w:rsidRDefault="002A6295" w:rsidP="002A6295">
            <w:pPr>
              <w:spacing w:after="0" w:line="240" w:lineRule="auto"/>
              <w:jc w:val="right"/>
              <w:rPr>
                <w:rFonts w:eastAsia="Times New Roman" w:cstheme="minorHAnsi"/>
                <w:lang w:eastAsia="en-GB"/>
              </w:rPr>
            </w:pPr>
            <w:r w:rsidRPr="002A6295">
              <w:rPr>
                <w:rFonts w:eastAsia="Times New Roman" w:cstheme="minorHAnsi"/>
                <w:lang w:eastAsia="en-GB"/>
              </w:rPr>
              <w:lastRenderedPageBreak/>
              <w:t>34</w:t>
            </w:r>
          </w:p>
        </w:tc>
        <w:tc>
          <w:tcPr>
            <w:tcW w:w="3442"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Due to the unusual investment profile the programme may underperform in 17/18 and then over perform in 19/20 leading to cash flow issues.</w:t>
            </w:r>
          </w:p>
        </w:tc>
        <w:tc>
          <w:tcPr>
            <w:tcW w:w="3976" w:type="dxa"/>
            <w:tcBorders>
              <w:top w:val="nil"/>
              <w:left w:val="nil"/>
              <w:bottom w:val="single" w:sz="4" w:space="0" w:color="auto"/>
              <w:right w:val="single" w:sz="4" w:space="0" w:color="auto"/>
            </w:tcBorders>
            <w:shd w:val="clear" w:color="auto" w:fill="auto"/>
            <w:vAlign w:val="bottom"/>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There is reputational risk with underperforming this year which could reduce funding available to us in future years.  The lack of cash flow in future years again will affect reputation with stakeholders and is difficult to manage once projects are on site.</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May need to agree staggering payment profile with LAs.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4590"/>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5</w:t>
            </w:r>
          </w:p>
        </w:tc>
        <w:tc>
          <w:tcPr>
            <w:tcW w:w="3442" w:type="dxa"/>
            <w:tcBorders>
              <w:top w:val="nil"/>
              <w:left w:val="nil"/>
              <w:bottom w:val="single" w:sz="4" w:space="0" w:color="auto"/>
              <w:right w:val="single" w:sz="4" w:space="0" w:color="auto"/>
            </w:tcBorders>
            <w:shd w:val="clear" w:color="000000" w:fill="FFFFFF"/>
            <w:hideMark/>
          </w:tcPr>
          <w:p w:rsidR="002A6295" w:rsidRPr="002A6295" w:rsidRDefault="002A6295" w:rsidP="002A6295">
            <w:pPr>
              <w:spacing w:after="0" w:line="240" w:lineRule="auto"/>
              <w:rPr>
                <w:rFonts w:eastAsia="Times New Roman" w:cstheme="minorHAnsi"/>
                <w:b/>
                <w:bCs/>
                <w:lang w:eastAsia="en-GB"/>
              </w:rPr>
            </w:pPr>
            <w:r w:rsidRPr="002A6295">
              <w:rPr>
                <w:rFonts w:eastAsia="Times New Roman" w:cstheme="minorHAnsi"/>
                <w:b/>
                <w:bCs/>
                <w:lang w:eastAsia="en-GB"/>
              </w:rPr>
              <w:t>ESIF targets and measurement criteria for C&amp;W, set by Government to meet the National targets, pose a challenge in some of the priority axes to deliver against</w:t>
            </w:r>
            <w:r w:rsidRPr="002A6295">
              <w:rPr>
                <w:rFonts w:eastAsia="Times New Roman" w:cstheme="minorHAnsi"/>
                <w:lang w:eastAsia="en-GB"/>
              </w:rPr>
              <w:t xml:space="preserve"> which puts at risk the achievement of overall LEP ESIF targets and aspirations and could put at risk the 6% performance programme target.</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xml:space="preserve">Agreed targets may not be delivered and the ESIF and SEP targets not delivered in full. </w:t>
            </w:r>
            <w:r w:rsidRPr="002A6295">
              <w:rPr>
                <w:rFonts w:eastAsia="Times New Roman" w:cstheme="minorHAnsi"/>
                <w:lang w:eastAsia="en-GB"/>
              </w:rPr>
              <w:br/>
              <w:t>If by December 2018, the LEP is not forecasting to achieve its targets by the end of the programme, it risks losing a performance reserve of 6% of the programme (approx. £3.6m)</w:t>
            </w:r>
            <w:r w:rsidRPr="002A6295">
              <w:rPr>
                <w:rFonts w:eastAsia="Times New Roman" w:cstheme="minorHAnsi"/>
                <w:lang w:eastAsia="en-GB"/>
              </w:rPr>
              <w:br/>
              <w:t>Reputational damage if the LEP does not meet its targets.</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 Work Northern Powerhouse Investment Fund (NPIF) to explore achievement of additional programme outputs and outcomes and ongoing sustainable reinvestment of EU funds post Brexit.</w:t>
            </w:r>
            <w:r w:rsidRPr="002A6295">
              <w:rPr>
                <w:rFonts w:eastAsia="Times New Roman" w:cstheme="minorHAnsi"/>
                <w:lang w:eastAsia="en-GB"/>
              </w:rPr>
              <w:br/>
              <w:t xml:space="preserve">- Possible increase in fund allocation of funds e.g. rural funding. </w:t>
            </w:r>
            <w:r w:rsidRPr="002A6295">
              <w:rPr>
                <w:rFonts w:eastAsia="Times New Roman" w:cstheme="minorHAnsi"/>
                <w:lang w:eastAsia="en-GB"/>
              </w:rPr>
              <w:br/>
              <w:t xml:space="preserve">- Work with Government on any early end of programme targets in view of Brexit. Increased output targets for projects required if investments made in Evergreen. New Calls to specifically focus on additional </w:t>
            </w:r>
            <w:proofErr w:type="spellStart"/>
            <w:r w:rsidRPr="002A6295">
              <w:rPr>
                <w:rFonts w:eastAsia="Times New Roman" w:cstheme="minorHAnsi"/>
                <w:lang w:eastAsia="en-GB"/>
              </w:rPr>
              <w:t>out put</w:t>
            </w:r>
            <w:proofErr w:type="spellEnd"/>
            <w:r w:rsidRPr="002A6295">
              <w:rPr>
                <w:rFonts w:eastAsia="Times New Roman" w:cstheme="minorHAnsi"/>
                <w:lang w:eastAsia="en-GB"/>
              </w:rPr>
              <w:t xml:space="preserve"> requirements in key areas (e.g. grants to business).</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r w:rsidR="002A6295" w:rsidRPr="002A6295" w:rsidTr="002A6295">
        <w:trPr>
          <w:trHeight w:val="1275"/>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 </w:t>
            </w:r>
          </w:p>
        </w:tc>
        <w:tc>
          <w:tcPr>
            <w:tcW w:w="3442"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Northgate isn't delivered to the size and scale anticipated when the bus station scheme was approved or within the timescales given.</w:t>
            </w:r>
          </w:p>
        </w:tc>
        <w:tc>
          <w:tcPr>
            <w:tcW w:w="3976"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Loss of outputs and potential reputational damage.  Would affect the overall impact of the LGF programme.  Chester City continues to lose trade impacting the businesses that already exist there.</w:t>
            </w:r>
          </w:p>
        </w:tc>
        <w:tc>
          <w:tcPr>
            <w:tcW w:w="4115" w:type="dxa"/>
            <w:tcBorders>
              <w:top w:val="nil"/>
              <w:left w:val="nil"/>
              <w:bottom w:val="single" w:sz="4" w:space="0" w:color="auto"/>
              <w:right w:val="single" w:sz="4" w:space="0" w:color="auto"/>
            </w:tcBorders>
            <w:shd w:val="clear" w:color="auto" w:fill="auto"/>
            <w:hideMark/>
          </w:tcPr>
          <w:p w:rsidR="002A6295" w:rsidRPr="002A6295" w:rsidRDefault="002A6295" w:rsidP="002A6295">
            <w:pPr>
              <w:spacing w:after="0" w:line="240" w:lineRule="auto"/>
              <w:rPr>
                <w:rFonts w:eastAsia="Times New Roman" w:cstheme="minorHAnsi"/>
                <w:lang w:eastAsia="en-GB"/>
              </w:rPr>
            </w:pPr>
            <w:r w:rsidRPr="002A6295">
              <w:rPr>
                <w:rFonts w:eastAsia="Times New Roman" w:cstheme="minorHAnsi"/>
                <w:lang w:eastAsia="en-GB"/>
              </w:rPr>
              <w:t>Offer to provide additional support to the delivery of the project?</w:t>
            </w:r>
          </w:p>
        </w:tc>
        <w:tc>
          <w:tcPr>
            <w:tcW w:w="957"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1323" w:type="dxa"/>
            <w:tcBorders>
              <w:top w:val="nil"/>
              <w:left w:val="nil"/>
              <w:bottom w:val="single" w:sz="4" w:space="0" w:color="auto"/>
              <w:right w:val="single" w:sz="4" w:space="0" w:color="auto"/>
            </w:tcBorders>
            <w:shd w:val="clear" w:color="auto" w:fill="auto"/>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3</w:t>
            </w:r>
          </w:p>
        </w:tc>
        <w:tc>
          <w:tcPr>
            <w:tcW w:w="95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A6295" w:rsidRPr="002A6295" w:rsidRDefault="002A6295" w:rsidP="002A6295">
            <w:pPr>
              <w:spacing w:after="0" w:line="240" w:lineRule="auto"/>
              <w:jc w:val="center"/>
              <w:rPr>
                <w:rFonts w:eastAsia="Times New Roman" w:cstheme="minorHAnsi"/>
                <w:lang w:eastAsia="en-GB"/>
              </w:rPr>
            </w:pPr>
            <w:r w:rsidRPr="002A6295">
              <w:rPr>
                <w:rFonts w:eastAsia="Times New Roman" w:cstheme="minorHAnsi"/>
                <w:lang w:eastAsia="en-GB"/>
              </w:rPr>
              <w:t>9</w:t>
            </w:r>
          </w:p>
        </w:tc>
      </w:tr>
    </w:tbl>
    <w:p w:rsidR="00F21FDF" w:rsidRPr="00233FFD" w:rsidRDefault="00F21FDF" w:rsidP="00153C0D">
      <w:pPr>
        <w:jc w:val="both"/>
        <w:rPr>
          <w:rFonts w:cstheme="minorHAnsi"/>
          <w:sz w:val="24"/>
          <w:szCs w:val="24"/>
        </w:rPr>
      </w:pPr>
    </w:p>
    <w:p w:rsidR="00621B2C" w:rsidRPr="00233FFD" w:rsidRDefault="00621B2C" w:rsidP="007F3497">
      <w:pPr>
        <w:jc w:val="both"/>
        <w:rPr>
          <w:rFonts w:cstheme="minorHAnsi"/>
          <w:sz w:val="24"/>
          <w:szCs w:val="24"/>
        </w:rPr>
      </w:pPr>
    </w:p>
    <w:sectPr w:rsidR="00621B2C" w:rsidRPr="00233FFD" w:rsidSect="006134D1">
      <w:pgSz w:w="16838" w:h="11906"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AED" w:rsidRDefault="00EC3AED" w:rsidP="00F12DC8">
      <w:pPr>
        <w:spacing w:after="0" w:line="240" w:lineRule="auto"/>
      </w:pPr>
      <w:r>
        <w:separator/>
      </w:r>
    </w:p>
  </w:endnote>
  <w:endnote w:type="continuationSeparator" w:id="0">
    <w:p w:rsidR="00EC3AED" w:rsidRDefault="00EC3AED" w:rsidP="00F1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5463"/>
      <w:docPartObj>
        <w:docPartGallery w:val="Page Numbers (Bottom of Page)"/>
        <w:docPartUnique/>
      </w:docPartObj>
    </w:sdtPr>
    <w:sdtEndPr>
      <w:rPr>
        <w:noProof/>
      </w:rPr>
    </w:sdtEndPr>
    <w:sdtContent>
      <w:p w:rsidR="00EC3AED" w:rsidRDefault="00EC3AED">
        <w:pPr>
          <w:pStyle w:val="Footer"/>
          <w:jc w:val="center"/>
        </w:pPr>
        <w:r>
          <w:fldChar w:fldCharType="begin"/>
        </w:r>
        <w:r>
          <w:instrText xml:space="preserve"> PAGE   \* MERGEFORMAT </w:instrText>
        </w:r>
        <w:r>
          <w:fldChar w:fldCharType="separate"/>
        </w:r>
        <w:r w:rsidR="007F1662">
          <w:rPr>
            <w:noProof/>
          </w:rPr>
          <w:t>14</w:t>
        </w:r>
        <w:r>
          <w:rPr>
            <w:noProof/>
          </w:rPr>
          <w:fldChar w:fldCharType="end"/>
        </w:r>
      </w:p>
    </w:sdtContent>
  </w:sdt>
  <w:p w:rsidR="00EC3AED" w:rsidRDefault="00EC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AED" w:rsidRDefault="00EC3AED" w:rsidP="00F12DC8">
      <w:pPr>
        <w:spacing w:after="0" w:line="240" w:lineRule="auto"/>
      </w:pPr>
      <w:r>
        <w:separator/>
      </w:r>
    </w:p>
  </w:footnote>
  <w:footnote w:type="continuationSeparator" w:id="0">
    <w:p w:rsidR="00EC3AED" w:rsidRDefault="00EC3AED" w:rsidP="00F1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E4B"/>
    <w:multiLevelType w:val="hybridMultilevel"/>
    <w:tmpl w:val="0C66FE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6635BD"/>
    <w:multiLevelType w:val="multilevel"/>
    <w:tmpl w:val="D2B04D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835BF"/>
    <w:multiLevelType w:val="hybridMultilevel"/>
    <w:tmpl w:val="3866012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19697B20"/>
    <w:multiLevelType w:val="hybridMultilevel"/>
    <w:tmpl w:val="858E2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C75B1B"/>
    <w:multiLevelType w:val="hybridMultilevel"/>
    <w:tmpl w:val="B6DEE1BE"/>
    <w:lvl w:ilvl="0" w:tplc="F2207B80">
      <w:start w:val="1"/>
      <w:numFmt w:val="bullet"/>
      <w:lvlText w:val="•"/>
      <w:lvlJc w:val="left"/>
      <w:pPr>
        <w:tabs>
          <w:tab w:val="num" w:pos="720"/>
        </w:tabs>
        <w:ind w:left="720" w:hanging="360"/>
      </w:pPr>
      <w:rPr>
        <w:rFonts w:ascii="Arial" w:hAnsi="Arial" w:hint="default"/>
      </w:rPr>
    </w:lvl>
    <w:lvl w:ilvl="1" w:tplc="5EEE274E" w:tentative="1">
      <w:start w:val="1"/>
      <w:numFmt w:val="bullet"/>
      <w:lvlText w:val="•"/>
      <w:lvlJc w:val="left"/>
      <w:pPr>
        <w:tabs>
          <w:tab w:val="num" w:pos="1440"/>
        </w:tabs>
        <w:ind w:left="1440" w:hanging="360"/>
      </w:pPr>
      <w:rPr>
        <w:rFonts w:ascii="Arial" w:hAnsi="Arial" w:hint="default"/>
      </w:rPr>
    </w:lvl>
    <w:lvl w:ilvl="2" w:tplc="2AB6E654" w:tentative="1">
      <w:start w:val="1"/>
      <w:numFmt w:val="bullet"/>
      <w:lvlText w:val="•"/>
      <w:lvlJc w:val="left"/>
      <w:pPr>
        <w:tabs>
          <w:tab w:val="num" w:pos="2160"/>
        </w:tabs>
        <w:ind w:left="2160" w:hanging="360"/>
      </w:pPr>
      <w:rPr>
        <w:rFonts w:ascii="Arial" w:hAnsi="Arial" w:hint="default"/>
      </w:rPr>
    </w:lvl>
    <w:lvl w:ilvl="3" w:tplc="C362FF86" w:tentative="1">
      <w:start w:val="1"/>
      <w:numFmt w:val="bullet"/>
      <w:lvlText w:val="•"/>
      <w:lvlJc w:val="left"/>
      <w:pPr>
        <w:tabs>
          <w:tab w:val="num" w:pos="2880"/>
        </w:tabs>
        <w:ind w:left="2880" w:hanging="360"/>
      </w:pPr>
      <w:rPr>
        <w:rFonts w:ascii="Arial" w:hAnsi="Arial" w:hint="default"/>
      </w:rPr>
    </w:lvl>
    <w:lvl w:ilvl="4" w:tplc="61D489C4" w:tentative="1">
      <w:start w:val="1"/>
      <w:numFmt w:val="bullet"/>
      <w:lvlText w:val="•"/>
      <w:lvlJc w:val="left"/>
      <w:pPr>
        <w:tabs>
          <w:tab w:val="num" w:pos="3600"/>
        </w:tabs>
        <w:ind w:left="3600" w:hanging="360"/>
      </w:pPr>
      <w:rPr>
        <w:rFonts w:ascii="Arial" w:hAnsi="Arial" w:hint="default"/>
      </w:rPr>
    </w:lvl>
    <w:lvl w:ilvl="5" w:tplc="A48070CA" w:tentative="1">
      <w:start w:val="1"/>
      <w:numFmt w:val="bullet"/>
      <w:lvlText w:val="•"/>
      <w:lvlJc w:val="left"/>
      <w:pPr>
        <w:tabs>
          <w:tab w:val="num" w:pos="4320"/>
        </w:tabs>
        <w:ind w:left="4320" w:hanging="360"/>
      </w:pPr>
      <w:rPr>
        <w:rFonts w:ascii="Arial" w:hAnsi="Arial" w:hint="default"/>
      </w:rPr>
    </w:lvl>
    <w:lvl w:ilvl="6" w:tplc="658662FA" w:tentative="1">
      <w:start w:val="1"/>
      <w:numFmt w:val="bullet"/>
      <w:lvlText w:val="•"/>
      <w:lvlJc w:val="left"/>
      <w:pPr>
        <w:tabs>
          <w:tab w:val="num" w:pos="5040"/>
        </w:tabs>
        <w:ind w:left="5040" w:hanging="360"/>
      </w:pPr>
      <w:rPr>
        <w:rFonts w:ascii="Arial" w:hAnsi="Arial" w:hint="default"/>
      </w:rPr>
    </w:lvl>
    <w:lvl w:ilvl="7" w:tplc="A698AE2A" w:tentative="1">
      <w:start w:val="1"/>
      <w:numFmt w:val="bullet"/>
      <w:lvlText w:val="•"/>
      <w:lvlJc w:val="left"/>
      <w:pPr>
        <w:tabs>
          <w:tab w:val="num" w:pos="5760"/>
        </w:tabs>
        <w:ind w:left="5760" w:hanging="360"/>
      </w:pPr>
      <w:rPr>
        <w:rFonts w:ascii="Arial" w:hAnsi="Arial" w:hint="default"/>
      </w:rPr>
    </w:lvl>
    <w:lvl w:ilvl="8" w:tplc="0234FE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F93651"/>
    <w:multiLevelType w:val="hybridMultilevel"/>
    <w:tmpl w:val="03F880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25096E"/>
    <w:multiLevelType w:val="multilevel"/>
    <w:tmpl w:val="DEAA9F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A2681"/>
    <w:multiLevelType w:val="hybridMultilevel"/>
    <w:tmpl w:val="BA4450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E44544"/>
    <w:multiLevelType w:val="hybridMultilevel"/>
    <w:tmpl w:val="FF7E4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A65A00"/>
    <w:multiLevelType w:val="hybridMultilevel"/>
    <w:tmpl w:val="07383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47EB7"/>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3154B5"/>
    <w:multiLevelType w:val="hybridMultilevel"/>
    <w:tmpl w:val="F2AA03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480A63"/>
    <w:multiLevelType w:val="hybridMultilevel"/>
    <w:tmpl w:val="62B4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533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3210CA"/>
    <w:multiLevelType w:val="hybridMultilevel"/>
    <w:tmpl w:val="6DACBBEC"/>
    <w:lvl w:ilvl="0" w:tplc="06B8054C">
      <w:start w:val="1"/>
      <w:numFmt w:val="bullet"/>
      <w:lvlText w:val="-"/>
      <w:lvlJc w:val="left"/>
      <w:pPr>
        <w:tabs>
          <w:tab w:val="num" w:pos="720"/>
        </w:tabs>
        <w:ind w:left="720" w:hanging="360"/>
      </w:pPr>
      <w:rPr>
        <w:rFonts w:ascii="Times New Roman" w:hAnsi="Times New Roman" w:hint="default"/>
      </w:rPr>
    </w:lvl>
    <w:lvl w:ilvl="1" w:tplc="887A3630" w:tentative="1">
      <w:start w:val="1"/>
      <w:numFmt w:val="bullet"/>
      <w:lvlText w:val="-"/>
      <w:lvlJc w:val="left"/>
      <w:pPr>
        <w:tabs>
          <w:tab w:val="num" w:pos="1440"/>
        </w:tabs>
        <w:ind w:left="1440" w:hanging="360"/>
      </w:pPr>
      <w:rPr>
        <w:rFonts w:ascii="Times New Roman" w:hAnsi="Times New Roman" w:hint="default"/>
      </w:rPr>
    </w:lvl>
    <w:lvl w:ilvl="2" w:tplc="5DDC34AE" w:tentative="1">
      <w:start w:val="1"/>
      <w:numFmt w:val="bullet"/>
      <w:lvlText w:val="-"/>
      <w:lvlJc w:val="left"/>
      <w:pPr>
        <w:tabs>
          <w:tab w:val="num" w:pos="2160"/>
        </w:tabs>
        <w:ind w:left="2160" w:hanging="360"/>
      </w:pPr>
      <w:rPr>
        <w:rFonts w:ascii="Times New Roman" w:hAnsi="Times New Roman" w:hint="default"/>
      </w:rPr>
    </w:lvl>
    <w:lvl w:ilvl="3" w:tplc="5B40FAFC" w:tentative="1">
      <w:start w:val="1"/>
      <w:numFmt w:val="bullet"/>
      <w:lvlText w:val="-"/>
      <w:lvlJc w:val="left"/>
      <w:pPr>
        <w:tabs>
          <w:tab w:val="num" w:pos="2880"/>
        </w:tabs>
        <w:ind w:left="2880" w:hanging="360"/>
      </w:pPr>
      <w:rPr>
        <w:rFonts w:ascii="Times New Roman" w:hAnsi="Times New Roman" w:hint="default"/>
      </w:rPr>
    </w:lvl>
    <w:lvl w:ilvl="4" w:tplc="44303A1E" w:tentative="1">
      <w:start w:val="1"/>
      <w:numFmt w:val="bullet"/>
      <w:lvlText w:val="-"/>
      <w:lvlJc w:val="left"/>
      <w:pPr>
        <w:tabs>
          <w:tab w:val="num" w:pos="3600"/>
        </w:tabs>
        <w:ind w:left="3600" w:hanging="360"/>
      </w:pPr>
      <w:rPr>
        <w:rFonts w:ascii="Times New Roman" w:hAnsi="Times New Roman" w:hint="default"/>
      </w:rPr>
    </w:lvl>
    <w:lvl w:ilvl="5" w:tplc="03E000D4" w:tentative="1">
      <w:start w:val="1"/>
      <w:numFmt w:val="bullet"/>
      <w:lvlText w:val="-"/>
      <w:lvlJc w:val="left"/>
      <w:pPr>
        <w:tabs>
          <w:tab w:val="num" w:pos="4320"/>
        </w:tabs>
        <w:ind w:left="4320" w:hanging="360"/>
      </w:pPr>
      <w:rPr>
        <w:rFonts w:ascii="Times New Roman" w:hAnsi="Times New Roman" w:hint="default"/>
      </w:rPr>
    </w:lvl>
    <w:lvl w:ilvl="6" w:tplc="0F08FF8E" w:tentative="1">
      <w:start w:val="1"/>
      <w:numFmt w:val="bullet"/>
      <w:lvlText w:val="-"/>
      <w:lvlJc w:val="left"/>
      <w:pPr>
        <w:tabs>
          <w:tab w:val="num" w:pos="5040"/>
        </w:tabs>
        <w:ind w:left="5040" w:hanging="360"/>
      </w:pPr>
      <w:rPr>
        <w:rFonts w:ascii="Times New Roman" w:hAnsi="Times New Roman" w:hint="default"/>
      </w:rPr>
    </w:lvl>
    <w:lvl w:ilvl="7" w:tplc="9124B7C8" w:tentative="1">
      <w:start w:val="1"/>
      <w:numFmt w:val="bullet"/>
      <w:lvlText w:val="-"/>
      <w:lvlJc w:val="left"/>
      <w:pPr>
        <w:tabs>
          <w:tab w:val="num" w:pos="5760"/>
        </w:tabs>
        <w:ind w:left="5760" w:hanging="360"/>
      </w:pPr>
      <w:rPr>
        <w:rFonts w:ascii="Times New Roman" w:hAnsi="Times New Roman" w:hint="default"/>
      </w:rPr>
    </w:lvl>
    <w:lvl w:ilvl="8" w:tplc="0C22C1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F3570B9"/>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9251A"/>
    <w:multiLevelType w:val="multilevel"/>
    <w:tmpl w:val="2E0E4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D467DA"/>
    <w:multiLevelType w:val="hybridMultilevel"/>
    <w:tmpl w:val="DF4C053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58C66B69"/>
    <w:multiLevelType w:val="hybridMultilevel"/>
    <w:tmpl w:val="BA62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B775BC"/>
    <w:multiLevelType w:val="hybridMultilevel"/>
    <w:tmpl w:val="DB2E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7050DC"/>
    <w:multiLevelType w:val="hybridMultilevel"/>
    <w:tmpl w:val="BF860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550978"/>
    <w:multiLevelType w:val="hybridMultilevel"/>
    <w:tmpl w:val="EF1A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D0D02"/>
    <w:multiLevelType w:val="multilevel"/>
    <w:tmpl w:val="D2B04D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2D7FA3"/>
    <w:multiLevelType w:val="multilevel"/>
    <w:tmpl w:val="E328F53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112107"/>
    <w:multiLevelType w:val="hybridMultilevel"/>
    <w:tmpl w:val="9DB25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66E2E"/>
    <w:multiLevelType w:val="hybridMultilevel"/>
    <w:tmpl w:val="23EEBDD6"/>
    <w:lvl w:ilvl="0" w:tplc="6B8EB6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71D30557"/>
    <w:multiLevelType w:val="multilevel"/>
    <w:tmpl w:val="54DA865C"/>
    <w:lvl w:ilvl="0">
      <w:start w:val="4"/>
      <w:numFmt w:val="decimal"/>
      <w:lvlText w:val="%1.0"/>
      <w:lvlJc w:val="left"/>
      <w:pPr>
        <w:ind w:left="540" w:hanging="398"/>
      </w:pPr>
      <w:rPr>
        <w:rFonts w:hint="default"/>
      </w:rPr>
    </w:lvl>
    <w:lvl w:ilvl="1">
      <w:start w:val="1"/>
      <w:numFmt w:val="decimal"/>
      <w:lvlText w:val="%1.%2"/>
      <w:lvlJc w:val="left"/>
      <w:pPr>
        <w:ind w:left="1249" w:hanging="398"/>
      </w:pPr>
      <w:rPr>
        <w:rFonts w:hint="default"/>
        <w:b w:val="0"/>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27" w15:restartNumberingAfterBreak="0">
    <w:nsid w:val="76503416"/>
    <w:multiLevelType w:val="hybridMultilevel"/>
    <w:tmpl w:val="DE6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F4494E"/>
    <w:multiLevelType w:val="hybridMultilevel"/>
    <w:tmpl w:val="D92629F6"/>
    <w:lvl w:ilvl="0" w:tplc="4EF45FC4">
      <w:start w:val="1"/>
      <w:numFmt w:val="bullet"/>
      <w:lvlText w:val="•"/>
      <w:lvlJc w:val="left"/>
      <w:pPr>
        <w:tabs>
          <w:tab w:val="num" w:pos="720"/>
        </w:tabs>
        <w:ind w:left="720" w:hanging="360"/>
      </w:pPr>
      <w:rPr>
        <w:rFonts w:ascii="Arial" w:hAnsi="Arial" w:hint="default"/>
      </w:rPr>
    </w:lvl>
    <w:lvl w:ilvl="1" w:tplc="5882F47A" w:tentative="1">
      <w:start w:val="1"/>
      <w:numFmt w:val="bullet"/>
      <w:lvlText w:val="•"/>
      <w:lvlJc w:val="left"/>
      <w:pPr>
        <w:tabs>
          <w:tab w:val="num" w:pos="1440"/>
        </w:tabs>
        <w:ind w:left="1440" w:hanging="360"/>
      </w:pPr>
      <w:rPr>
        <w:rFonts w:ascii="Arial" w:hAnsi="Arial" w:hint="default"/>
      </w:rPr>
    </w:lvl>
    <w:lvl w:ilvl="2" w:tplc="B7769C46" w:tentative="1">
      <w:start w:val="1"/>
      <w:numFmt w:val="bullet"/>
      <w:lvlText w:val="•"/>
      <w:lvlJc w:val="left"/>
      <w:pPr>
        <w:tabs>
          <w:tab w:val="num" w:pos="2160"/>
        </w:tabs>
        <w:ind w:left="2160" w:hanging="360"/>
      </w:pPr>
      <w:rPr>
        <w:rFonts w:ascii="Arial" w:hAnsi="Arial" w:hint="default"/>
      </w:rPr>
    </w:lvl>
    <w:lvl w:ilvl="3" w:tplc="CE4AA296" w:tentative="1">
      <w:start w:val="1"/>
      <w:numFmt w:val="bullet"/>
      <w:lvlText w:val="•"/>
      <w:lvlJc w:val="left"/>
      <w:pPr>
        <w:tabs>
          <w:tab w:val="num" w:pos="2880"/>
        </w:tabs>
        <w:ind w:left="2880" w:hanging="360"/>
      </w:pPr>
      <w:rPr>
        <w:rFonts w:ascii="Arial" w:hAnsi="Arial" w:hint="default"/>
      </w:rPr>
    </w:lvl>
    <w:lvl w:ilvl="4" w:tplc="F86C0092" w:tentative="1">
      <w:start w:val="1"/>
      <w:numFmt w:val="bullet"/>
      <w:lvlText w:val="•"/>
      <w:lvlJc w:val="left"/>
      <w:pPr>
        <w:tabs>
          <w:tab w:val="num" w:pos="3600"/>
        </w:tabs>
        <w:ind w:left="3600" w:hanging="360"/>
      </w:pPr>
      <w:rPr>
        <w:rFonts w:ascii="Arial" w:hAnsi="Arial" w:hint="default"/>
      </w:rPr>
    </w:lvl>
    <w:lvl w:ilvl="5" w:tplc="3D0084DA" w:tentative="1">
      <w:start w:val="1"/>
      <w:numFmt w:val="bullet"/>
      <w:lvlText w:val="•"/>
      <w:lvlJc w:val="left"/>
      <w:pPr>
        <w:tabs>
          <w:tab w:val="num" w:pos="4320"/>
        </w:tabs>
        <w:ind w:left="4320" w:hanging="360"/>
      </w:pPr>
      <w:rPr>
        <w:rFonts w:ascii="Arial" w:hAnsi="Arial" w:hint="default"/>
      </w:rPr>
    </w:lvl>
    <w:lvl w:ilvl="6" w:tplc="28F0FA90" w:tentative="1">
      <w:start w:val="1"/>
      <w:numFmt w:val="bullet"/>
      <w:lvlText w:val="•"/>
      <w:lvlJc w:val="left"/>
      <w:pPr>
        <w:tabs>
          <w:tab w:val="num" w:pos="5040"/>
        </w:tabs>
        <w:ind w:left="5040" w:hanging="360"/>
      </w:pPr>
      <w:rPr>
        <w:rFonts w:ascii="Arial" w:hAnsi="Arial" w:hint="default"/>
      </w:rPr>
    </w:lvl>
    <w:lvl w:ilvl="7" w:tplc="26644BE0" w:tentative="1">
      <w:start w:val="1"/>
      <w:numFmt w:val="bullet"/>
      <w:lvlText w:val="•"/>
      <w:lvlJc w:val="left"/>
      <w:pPr>
        <w:tabs>
          <w:tab w:val="num" w:pos="5760"/>
        </w:tabs>
        <w:ind w:left="5760" w:hanging="360"/>
      </w:pPr>
      <w:rPr>
        <w:rFonts w:ascii="Arial" w:hAnsi="Arial" w:hint="default"/>
      </w:rPr>
    </w:lvl>
    <w:lvl w:ilvl="8" w:tplc="5BD46A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AE7F59"/>
    <w:multiLevelType w:val="hybridMultilevel"/>
    <w:tmpl w:val="9830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5"/>
  </w:num>
  <w:num w:numId="6">
    <w:abstractNumId w:val="6"/>
  </w:num>
  <w:num w:numId="7">
    <w:abstractNumId w:val="19"/>
  </w:num>
  <w:num w:numId="8">
    <w:abstractNumId w:val="3"/>
  </w:num>
  <w:num w:numId="9">
    <w:abstractNumId w:val="21"/>
  </w:num>
  <w:num w:numId="10">
    <w:abstractNumId w:val="27"/>
  </w:num>
  <w:num w:numId="11">
    <w:abstractNumId w:val="26"/>
  </w:num>
  <w:num w:numId="12">
    <w:abstractNumId w:val="13"/>
  </w:num>
  <w:num w:numId="13">
    <w:abstractNumId w:val="5"/>
  </w:num>
  <w:num w:numId="14">
    <w:abstractNumId w:val="11"/>
  </w:num>
  <w:num w:numId="15">
    <w:abstractNumId w:val="7"/>
  </w:num>
  <w:num w:numId="16">
    <w:abstractNumId w:val="10"/>
  </w:num>
  <w:num w:numId="17">
    <w:abstractNumId w:val="2"/>
  </w:num>
  <w:num w:numId="18">
    <w:abstractNumId w:val="17"/>
  </w:num>
  <w:num w:numId="19">
    <w:abstractNumId w:val="18"/>
  </w:num>
  <w:num w:numId="20">
    <w:abstractNumId w:val="23"/>
  </w:num>
  <w:num w:numId="21">
    <w:abstractNumId w:val="22"/>
  </w:num>
  <w:num w:numId="22">
    <w:abstractNumId w:val="20"/>
  </w:num>
  <w:num w:numId="23">
    <w:abstractNumId w:val="9"/>
  </w:num>
  <w:num w:numId="24">
    <w:abstractNumId w:val="29"/>
  </w:num>
  <w:num w:numId="25">
    <w:abstractNumId w:val="0"/>
  </w:num>
  <w:num w:numId="26">
    <w:abstractNumId w:val="4"/>
  </w:num>
  <w:num w:numId="27">
    <w:abstractNumId w:val="28"/>
  </w:num>
  <w:num w:numId="28">
    <w:abstractNumId w:val="14"/>
  </w:num>
  <w:num w:numId="29">
    <w:abstractNumId w:val="24"/>
  </w:num>
  <w:num w:numId="30">
    <w:abstractNumId w:val="12"/>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D5"/>
    <w:rsid w:val="000263DE"/>
    <w:rsid w:val="00037FD9"/>
    <w:rsid w:val="00050FE5"/>
    <w:rsid w:val="000638D0"/>
    <w:rsid w:val="00065AF3"/>
    <w:rsid w:val="00065B99"/>
    <w:rsid w:val="00067B9C"/>
    <w:rsid w:val="00075529"/>
    <w:rsid w:val="00081728"/>
    <w:rsid w:val="0009045F"/>
    <w:rsid w:val="000A3288"/>
    <w:rsid w:val="000A3487"/>
    <w:rsid w:val="000A3C40"/>
    <w:rsid w:val="000A591A"/>
    <w:rsid w:val="000B1448"/>
    <w:rsid w:val="000B20A4"/>
    <w:rsid w:val="000B372C"/>
    <w:rsid w:val="000B58EB"/>
    <w:rsid w:val="000C213B"/>
    <w:rsid w:val="000D0C22"/>
    <w:rsid w:val="000D127D"/>
    <w:rsid w:val="000D65C2"/>
    <w:rsid w:val="000D6A16"/>
    <w:rsid w:val="000F007B"/>
    <w:rsid w:val="000F244A"/>
    <w:rsid w:val="00101875"/>
    <w:rsid w:val="0010432E"/>
    <w:rsid w:val="00106820"/>
    <w:rsid w:val="001073DE"/>
    <w:rsid w:val="00107454"/>
    <w:rsid w:val="00110964"/>
    <w:rsid w:val="001135DD"/>
    <w:rsid w:val="0011579C"/>
    <w:rsid w:val="0012478D"/>
    <w:rsid w:val="0013097D"/>
    <w:rsid w:val="00133DBF"/>
    <w:rsid w:val="00134A29"/>
    <w:rsid w:val="001503BA"/>
    <w:rsid w:val="00153C0D"/>
    <w:rsid w:val="00156053"/>
    <w:rsid w:val="00164871"/>
    <w:rsid w:val="00164C40"/>
    <w:rsid w:val="00166FDF"/>
    <w:rsid w:val="00171EEB"/>
    <w:rsid w:val="0017216F"/>
    <w:rsid w:val="00174781"/>
    <w:rsid w:val="00175C3D"/>
    <w:rsid w:val="0018337E"/>
    <w:rsid w:val="00197A07"/>
    <w:rsid w:val="001A5188"/>
    <w:rsid w:val="001C6876"/>
    <w:rsid w:val="001D33D0"/>
    <w:rsid w:val="001E314B"/>
    <w:rsid w:val="001F68EC"/>
    <w:rsid w:val="001F6C47"/>
    <w:rsid w:val="001F72C7"/>
    <w:rsid w:val="002014C7"/>
    <w:rsid w:val="00203E3D"/>
    <w:rsid w:val="00207415"/>
    <w:rsid w:val="0021156E"/>
    <w:rsid w:val="0022118F"/>
    <w:rsid w:val="00230130"/>
    <w:rsid w:val="00233FFD"/>
    <w:rsid w:val="00272590"/>
    <w:rsid w:val="002749E3"/>
    <w:rsid w:val="00275846"/>
    <w:rsid w:val="00280BC7"/>
    <w:rsid w:val="0028207A"/>
    <w:rsid w:val="002827D5"/>
    <w:rsid w:val="0028453C"/>
    <w:rsid w:val="00297C44"/>
    <w:rsid w:val="002A0748"/>
    <w:rsid w:val="002A1CDB"/>
    <w:rsid w:val="002A3125"/>
    <w:rsid w:val="002A37BA"/>
    <w:rsid w:val="002A6295"/>
    <w:rsid w:val="002B2D87"/>
    <w:rsid w:val="002B33FD"/>
    <w:rsid w:val="002B6D08"/>
    <w:rsid w:val="002E6D12"/>
    <w:rsid w:val="002F2E4C"/>
    <w:rsid w:val="003016E2"/>
    <w:rsid w:val="00312569"/>
    <w:rsid w:val="00313712"/>
    <w:rsid w:val="00317F28"/>
    <w:rsid w:val="003207C2"/>
    <w:rsid w:val="00321120"/>
    <w:rsid w:val="00325684"/>
    <w:rsid w:val="00345591"/>
    <w:rsid w:val="003546BF"/>
    <w:rsid w:val="00365EBA"/>
    <w:rsid w:val="00372A6B"/>
    <w:rsid w:val="00384766"/>
    <w:rsid w:val="0038512E"/>
    <w:rsid w:val="00387F94"/>
    <w:rsid w:val="00390E79"/>
    <w:rsid w:val="003A33E9"/>
    <w:rsid w:val="003C21D4"/>
    <w:rsid w:val="003C370B"/>
    <w:rsid w:val="003C5FD7"/>
    <w:rsid w:val="003D70CA"/>
    <w:rsid w:val="003E2049"/>
    <w:rsid w:val="003F31B1"/>
    <w:rsid w:val="003F5A35"/>
    <w:rsid w:val="003F7CE2"/>
    <w:rsid w:val="003F7D1C"/>
    <w:rsid w:val="00401EA9"/>
    <w:rsid w:val="004047F2"/>
    <w:rsid w:val="00405299"/>
    <w:rsid w:val="004120EC"/>
    <w:rsid w:val="00424667"/>
    <w:rsid w:val="004343FE"/>
    <w:rsid w:val="00435F3D"/>
    <w:rsid w:val="00436539"/>
    <w:rsid w:val="00440186"/>
    <w:rsid w:val="0044170F"/>
    <w:rsid w:val="00456051"/>
    <w:rsid w:val="00456DB9"/>
    <w:rsid w:val="0046416C"/>
    <w:rsid w:val="00471C31"/>
    <w:rsid w:val="004730C1"/>
    <w:rsid w:val="00476AA3"/>
    <w:rsid w:val="00491D5F"/>
    <w:rsid w:val="004959DE"/>
    <w:rsid w:val="004A1C27"/>
    <w:rsid w:val="004B451B"/>
    <w:rsid w:val="004C0AF3"/>
    <w:rsid w:val="004C6848"/>
    <w:rsid w:val="004D552D"/>
    <w:rsid w:val="004D6446"/>
    <w:rsid w:val="004E1E36"/>
    <w:rsid w:val="004E200C"/>
    <w:rsid w:val="004E74C4"/>
    <w:rsid w:val="004F0E9A"/>
    <w:rsid w:val="004F5C5F"/>
    <w:rsid w:val="0050162D"/>
    <w:rsid w:val="005033D7"/>
    <w:rsid w:val="00516DCA"/>
    <w:rsid w:val="005231C5"/>
    <w:rsid w:val="00523DF4"/>
    <w:rsid w:val="005250B5"/>
    <w:rsid w:val="00526408"/>
    <w:rsid w:val="005268C0"/>
    <w:rsid w:val="00530F48"/>
    <w:rsid w:val="005317DC"/>
    <w:rsid w:val="00533B27"/>
    <w:rsid w:val="005378BC"/>
    <w:rsid w:val="005406F1"/>
    <w:rsid w:val="00540DDD"/>
    <w:rsid w:val="00542243"/>
    <w:rsid w:val="005430FC"/>
    <w:rsid w:val="005455AF"/>
    <w:rsid w:val="005535CE"/>
    <w:rsid w:val="005734E5"/>
    <w:rsid w:val="005919CE"/>
    <w:rsid w:val="005C1654"/>
    <w:rsid w:val="005C70ED"/>
    <w:rsid w:val="005D16FA"/>
    <w:rsid w:val="005D183A"/>
    <w:rsid w:val="005F3960"/>
    <w:rsid w:val="00604E25"/>
    <w:rsid w:val="006071CF"/>
    <w:rsid w:val="006134D1"/>
    <w:rsid w:val="00621B2C"/>
    <w:rsid w:val="006227E3"/>
    <w:rsid w:val="00624610"/>
    <w:rsid w:val="00634B4A"/>
    <w:rsid w:val="00637760"/>
    <w:rsid w:val="00642D59"/>
    <w:rsid w:val="0064301A"/>
    <w:rsid w:val="00645DD1"/>
    <w:rsid w:val="006473C1"/>
    <w:rsid w:val="006506EA"/>
    <w:rsid w:val="00675E60"/>
    <w:rsid w:val="0068451D"/>
    <w:rsid w:val="006863AD"/>
    <w:rsid w:val="00693497"/>
    <w:rsid w:val="00693514"/>
    <w:rsid w:val="006961C1"/>
    <w:rsid w:val="006A1083"/>
    <w:rsid w:val="006A5018"/>
    <w:rsid w:val="006B2A3B"/>
    <w:rsid w:val="006B40C1"/>
    <w:rsid w:val="006B7963"/>
    <w:rsid w:val="006C259A"/>
    <w:rsid w:val="006C2E9E"/>
    <w:rsid w:val="006D4ED8"/>
    <w:rsid w:val="006E13AE"/>
    <w:rsid w:val="006E59EB"/>
    <w:rsid w:val="006F67E3"/>
    <w:rsid w:val="00705C79"/>
    <w:rsid w:val="00711A5B"/>
    <w:rsid w:val="00720749"/>
    <w:rsid w:val="00720AD4"/>
    <w:rsid w:val="00725129"/>
    <w:rsid w:val="00726781"/>
    <w:rsid w:val="00726CB8"/>
    <w:rsid w:val="0072702D"/>
    <w:rsid w:val="00736B78"/>
    <w:rsid w:val="007424BB"/>
    <w:rsid w:val="00757487"/>
    <w:rsid w:val="00757972"/>
    <w:rsid w:val="00767293"/>
    <w:rsid w:val="00773A69"/>
    <w:rsid w:val="007801EE"/>
    <w:rsid w:val="00783492"/>
    <w:rsid w:val="00792689"/>
    <w:rsid w:val="00795022"/>
    <w:rsid w:val="007A37C9"/>
    <w:rsid w:val="007A52B5"/>
    <w:rsid w:val="007B7F30"/>
    <w:rsid w:val="007C08D9"/>
    <w:rsid w:val="007C1716"/>
    <w:rsid w:val="007C60CE"/>
    <w:rsid w:val="007C6F0A"/>
    <w:rsid w:val="007D3296"/>
    <w:rsid w:val="007E6F25"/>
    <w:rsid w:val="007E769F"/>
    <w:rsid w:val="007F1662"/>
    <w:rsid w:val="007F3497"/>
    <w:rsid w:val="007F7978"/>
    <w:rsid w:val="00801FF5"/>
    <w:rsid w:val="00805420"/>
    <w:rsid w:val="008121AA"/>
    <w:rsid w:val="00812F24"/>
    <w:rsid w:val="0081577B"/>
    <w:rsid w:val="008158E9"/>
    <w:rsid w:val="00826807"/>
    <w:rsid w:val="0083409C"/>
    <w:rsid w:val="00837F5D"/>
    <w:rsid w:val="008447F5"/>
    <w:rsid w:val="00853529"/>
    <w:rsid w:val="00862630"/>
    <w:rsid w:val="00864FF0"/>
    <w:rsid w:val="00886988"/>
    <w:rsid w:val="00887350"/>
    <w:rsid w:val="00895057"/>
    <w:rsid w:val="008978AD"/>
    <w:rsid w:val="008A7EA2"/>
    <w:rsid w:val="008C704F"/>
    <w:rsid w:val="008C7E19"/>
    <w:rsid w:val="008D2D4F"/>
    <w:rsid w:val="00904B01"/>
    <w:rsid w:val="00913AF5"/>
    <w:rsid w:val="0092386B"/>
    <w:rsid w:val="009337A3"/>
    <w:rsid w:val="00933DAA"/>
    <w:rsid w:val="00934D87"/>
    <w:rsid w:val="00934E2A"/>
    <w:rsid w:val="00935462"/>
    <w:rsid w:val="0094182B"/>
    <w:rsid w:val="00943664"/>
    <w:rsid w:val="00945890"/>
    <w:rsid w:val="00946B9D"/>
    <w:rsid w:val="00950F77"/>
    <w:rsid w:val="00963CCA"/>
    <w:rsid w:val="00971126"/>
    <w:rsid w:val="00972E16"/>
    <w:rsid w:val="00973D48"/>
    <w:rsid w:val="009744F1"/>
    <w:rsid w:val="009809FA"/>
    <w:rsid w:val="00981129"/>
    <w:rsid w:val="00981243"/>
    <w:rsid w:val="00987423"/>
    <w:rsid w:val="00991929"/>
    <w:rsid w:val="00996C8C"/>
    <w:rsid w:val="009A7152"/>
    <w:rsid w:val="009B357D"/>
    <w:rsid w:val="009C7E8A"/>
    <w:rsid w:val="009D59DA"/>
    <w:rsid w:val="009D6AFA"/>
    <w:rsid w:val="009E64E1"/>
    <w:rsid w:val="009F4A08"/>
    <w:rsid w:val="009F631B"/>
    <w:rsid w:val="00A010AC"/>
    <w:rsid w:val="00A03668"/>
    <w:rsid w:val="00A102D8"/>
    <w:rsid w:val="00A1338A"/>
    <w:rsid w:val="00A2296F"/>
    <w:rsid w:val="00A308B3"/>
    <w:rsid w:val="00A33346"/>
    <w:rsid w:val="00A5399E"/>
    <w:rsid w:val="00A64384"/>
    <w:rsid w:val="00A731C7"/>
    <w:rsid w:val="00A761F7"/>
    <w:rsid w:val="00A90520"/>
    <w:rsid w:val="00A948DF"/>
    <w:rsid w:val="00A9633B"/>
    <w:rsid w:val="00A968AB"/>
    <w:rsid w:val="00AA1342"/>
    <w:rsid w:val="00AA4D87"/>
    <w:rsid w:val="00AA6852"/>
    <w:rsid w:val="00AB20F7"/>
    <w:rsid w:val="00AB3852"/>
    <w:rsid w:val="00AB56B2"/>
    <w:rsid w:val="00AC15F8"/>
    <w:rsid w:val="00AC3179"/>
    <w:rsid w:val="00AC3760"/>
    <w:rsid w:val="00AE5AE3"/>
    <w:rsid w:val="00AF79A9"/>
    <w:rsid w:val="00B06034"/>
    <w:rsid w:val="00B10DD1"/>
    <w:rsid w:val="00B1408E"/>
    <w:rsid w:val="00B153EC"/>
    <w:rsid w:val="00B15AB7"/>
    <w:rsid w:val="00B16202"/>
    <w:rsid w:val="00B20863"/>
    <w:rsid w:val="00B40A7F"/>
    <w:rsid w:val="00B54523"/>
    <w:rsid w:val="00B54EBE"/>
    <w:rsid w:val="00B556F7"/>
    <w:rsid w:val="00B64397"/>
    <w:rsid w:val="00B66A1A"/>
    <w:rsid w:val="00B70AEA"/>
    <w:rsid w:val="00B70D7A"/>
    <w:rsid w:val="00B73351"/>
    <w:rsid w:val="00B762D6"/>
    <w:rsid w:val="00B8218A"/>
    <w:rsid w:val="00B83F4B"/>
    <w:rsid w:val="00B87D84"/>
    <w:rsid w:val="00B91BDF"/>
    <w:rsid w:val="00B95DA5"/>
    <w:rsid w:val="00BB5B3C"/>
    <w:rsid w:val="00BB6F9D"/>
    <w:rsid w:val="00BB7BE0"/>
    <w:rsid w:val="00BC562B"/>
    <w:rsid w:val="00BD05C9"/>
    <w:rsid w:val="00BD52BD"/>
    <w:rsid w:val="00BD562D"/>
    <w:rsid w:val="00BE190B"/>
    <w:rsid w:val="00BF2E37"/>
    <w:rsid w:val="00BF4D20"/>
    <w:rsid w:val="00BF5044"/>
    <w:rsid w:val="00C02811"/>
    <w:rsid w:val="00C16CBC"/>
    <w:rsid w:val="00C25F11"/>
    <w:rsid w:val="00C334D1"/>
    <w:rsid w:val="00C36983"/>
    <w:rsid w:val="00C45D59"/>
    <w:rsid w:val="00C65684"/>
    <w:rsid w:val="00C6647E"/>
    <w:rsid w:val="00C742C7"/>
    <w:rsid w:val="00C75040"/>
    <w:rsid w:val="00C77955"/>
    <w:rsid w:val="00C81BE0"/>
    <w:rsid w:val="00CA22FA"/>
    <w:rsid w:val="00CB4600"/>
    <w:rsid w:val="00CB48CD"/>
    <w:rsid w:val="00CC0ACC"/>
    <w:rsid w:val="00CD5261"/>
    <w:rsid w:val="00CE079D"/>
    <w:rsid w:val="00CE3366"/>
    <w:rsid w:val="00CE5970"/>
    <w:rsid w:val="00CF05D6"/>
    <w:rsid w:val="00CF290B"/>
    <w:rsid w:val="00CF37BE"/>
    <w:rsid w:val="00CF3D9E"/>
    <w:rsid w:val="00D103AA"/>
    <w:rsid w:val="00D11B1F"/>
    <w:rsid w:val="00D2073C"/>
    <w:rsid w:val="00D3311D"/>
    <w:rsid w:val="00D34DE3"/>
    <w:rsid w:val="00D4393E"/>
    <w:rsid w:val="00D63FB4"/>
    <w:rsid w:val="00D7098F"/>
    <w:rsid w:val="00D7124C"/>
    <w:rsid w:val="00D715D7"/>
    <w:rsid w:val="00D72ACA"/>
    <w:rsid w:val="00D8301B"/>
    <w:rsid w:val="00D849D9"/>
    <w:rsid w:val="00D932BB"/>
    <w:rsid w:val="00DB38F5"/>
    <w:rsid w:val="00DB3E2A"/>
    <w:rsid w:val="00DB644D"/>
    <w:rsid w:val="00DC3081"/>
    <w:rsid w:val="00DC309B"/>
    <w:rsid w:val="00DC338D"/>
    <w:rsid w:val="00DC377F"/>
    <w:rsid w:val="00DE35B2"/>
    <w:rsid w:val="00DE4A77"/>
    <w:rsid w:val="00DE51FD"/>
    <w:rsid w:val="00DE78DA"/>
    <w:rsid w:val="00DF5381"/>
    <w:rsid w:val="00DF5FC4"/>
    <w:rsid w:val="00DF69AB"/>
    <w:rsid w:val="00DF7FC8"/>
    <w:rsid w:val="00E020F6"/>
    <w:rsid w:val="00E05776"/>
    <w:rsid w:val="00E11AA1"/>
    <w:rsid w:val="00E1608E"/>
    <w:rsid w:val="00E167ED"/>
    <w:rsid w:val="00E200B7"/>
    <w:rsid w:val="00E250C4"/>
    <w:rsid w:val="00E314EB"/>
    <w:rsid w:val="00E32A42"/>
    <w:rsid w:val="00E34FB2"/>
    <w:rsid w:val="00E46FE9"/>
    <w:rsid w:val="00E478D6"/>
    <w:rsid w:val="00E55C8B"/>
    <w:rsid w:val="00E637F4"/>
    <w:rsid w:val="00E72639"/>
    <w:rsid w:val="00E73693"/>
    <w:rsid w:val="00E772E7"/>
    <w:rsid w:val="00E81E0F"/>
    <w:rsid w:val="00E83457"/>
    <w:rsid w:val="00EA7A60"/>
    <w:rsid w:val="00EB0AE6"/>
    <w:rsid w:val="00EB0B96"/>
    <w:rsid w:val="00EB4852"/>
    <w:rsid w:val="00EB67D8"/>
    <w:rsid w:val="00EC3AED"/>
    <w:rsid w:val="00ED7357"/>
    <w:rsid w:val="00EE6C02"/>
    <w:rsid w:val="00EF316D"/>
    <w:rsid w:val="00F0599A"/>
    <w:rsid w:val="00F06273"/>
    <w:rsid w:val="00F12DC8"/>
    <w:rsid w:val="00F201A6"/>
    <w:rsid w:val="00F21FDF"/>
    <w:rsid w:val="00F229EF"/>
    <w:rsid w:val="00F27443"/>
    <w:rsid w:val="00F32C51"/>
    <w:rsid w:val="00F34310"/>
    <w:rsid w:val="00F347FB"/>
    <w:rsid w:val="00F35F46"/>
    <w:rsid w:val="00F427D6"/>
    <w:rsid w:val="00F45713"/>
    <w:rsid w:val="00F45999"/>
    <w:rsid w:val="00F52D5B"/>
    <w:rsid w:val="00F53C02"/>
    <w:rsid w:val="00F559CE"/>
    <w:rsid w:val="00F609EF"/>
    <w:rsid w:val="00F62F6C"/>
    <w:rsid w:val="00F706D5"/>
    <w:rsid w:val="00F70A2A"/>
    <w:rsid w:val="00F73375"/>
    <w:rsid w:val="00F76B1C"/>
    <w:rsid w:val="00F91052"/>
    <w:rsid w:val="00FA2E79"/>
    <w:rsid w:val="00FA40BB"/>
    <w:rsid w:val="00FA4D3A"/>
    <w:rsid w:val="00FC04B0"/>
    <w:rsid w:val="00FD135A"/>
    <w:rsid w:val="00FD65A2"/>
    <w:rsid w:val="00FD7884"/>
    <w:rsid w:val="00FE212C"/>
    <w:rsid w:val="00FE213A"/>
    <w:rsid w:val="00FE6524"/>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75A8"/>
  <w15:docId w15:val="{A8E764D1-65A2-40AE-A249-3745008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981129"/>
    <w:pPr>
      <w:keepNext/>
      <w:spacing w:after="0" w:line="240" w:lineRule="auto"/>
      <w:jc w:val="center"/>
      <w:outlineLvl w:val="4"/>
    </w:pPr>
    <w:rPr>
      <w:rFonts w:ascii="Arial" w:eastAsia="Times New Roman" w:hAnsi="Arial"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562B"/>
    <w:pPr>
      <w:ind w:left="720"/>
      <w:contextualSpacing/>
    </w:pPr>
  </w:style>
  <w:style w:type="character" w:styleId="Hyperlink">
    <w:name w:val="Hyperlink"/>
    <w:basedOn w:val="DefaultParagraphFont"/>
    <w:uiPriority w:val="99"/>
    <w:unhideWhenUsed/>
    <w:rsid w:val="001C6876"/>
    <w:rPr>
      <w:color w:val="0563C1" w:themeColor="hyperlink"/>
      <w:u w:val="single"/>
    </w:rPr>
  </w:style>
  <w:style w:type="character" w:customStyle="1" w:styleId="Mention1">
    <w:name w:val="Mention1"/>
    <w:basedOn w:val="DefaultParagraphFont"/>
    <w:uiPriority w:val="99"/>
    <w:semiHidden/>
    <w:unhideWhenUsed/>
    <w:rsid w:val="001C6876"/>
    <w:rPr>
      <w:color w:val="2B579A"/>
      <w:shd w:val="clear" w:color="auto" w:fill="E6E6E6"/>
    </w:rPr>
  </w:style>
  <w:style w:type="table" w:styleId="TableGrid">
    <w:name w:val="Table Grid"/>
    <w:basedOn w:val="TableNormal"/>
    <w:uiPriority w:val="39"/>
    <w:rsid w:val="0054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5AF3"/>
    <w:pPr>
      <w:spacing w:after="0" w:line="240" w:lineRule="auto"/>
    </w:pPr>
    <w:rPr>
      <w:rFonts w:ascii="Calibri" w:hAnsi="Calibri" w:cs="Calibri"/>
    </w:rPr>
  </w:style>
  <w:style w:type="character" w:customStyle="1" w:styleId="spelle">
    <w:name w:val="spelle"/>
    <w:basedOn w:val="DefaultParagraphFont"/>
    <w:rsid w:val="00065AF3"/>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91"/>
  </w:style>
  <w:style w:type="paragraph" w:styleId="BalloonText">
    <w:name w:val="Balloon Text"/>
    <w:basedOn w:val="Normal"/>
    <w:link w:val="BalloonTextChar"/>
    <w:uiPriority w:val="99"/>
    <w:semiHidden/>
    <w:unhideWhenUsed/>
    <w:rsid w:val="005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54"/>
    <w:rPr>
      <w:rFonts w:ascii="Tahoma" w:hAnsi="Tahoma" w:cs="Tahoma"/>
      <w:sz w:val="16"/>
      <w:szCs w:val="16"/>
    </w:rPr>
  </w:style>
  <w:style w:type="character" w:customStyle="1" w:styleId="NoSpacingChar">
    <w:name w:val="No Spacing Char"/>
    <w:link w:val="NoSpacing"/>
    <w:uiPriority w:val="1"/>
    <w:locked/>
    <w:rsid w:val="00981243"/>
    <w:rPr>
      <w:rFonts w:ascii="Calibri" w:hAnsi="Calibri" w:cs="Calibri"/>
    </w:rPr>
  </w:style>
  <w:style w:type="paragraph" w:styleId="Header">
    <w:name w:val="header"/>
    <w:basedOn w:val="Normal"/>
    <w:link w:val="HeaderChar"/>
    <w:uiPriority w:val="99"/>
    <w:unhideWhenUsed/>
    <w:rsid w:val="00F1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C8"/>
  </w:style>
  <w:style w:type="paragraph" w:styleId="Footer">
    <w:name w:val="footer"/>
    <w:basedOn w:val="Normal"/>
    <w:link w:val="FooterChar"/>
    <w:uiPriority w:val="99"/>
    <w:unhideWhenUsed/>
    <w:rsid w:val="00F1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C8"/>
  </w:style>
  <w:style w:type="character" w:customStyle="1" w:styleId="Heading5Char">
    <w:name w:val="Heading 5 Char"/>
    <w:basedOn w:val="DefaultParagraphFont"/>
    <w:link w:val="Heading5"/>
    <w:rsid w:val="00981129"/>
    <w:rPr>
      <w:rFonts w:ascii="Arial" w:eastAsia="Times New Roman" w:hAnsi="Arial" w:cs="Arial"/>
      <w:b/>
      <w:bCs/>
      <w:sz w:val="32"/>
      <w:szCs w:val="24"/>
      <w:u w:val="single"/>
    </w:rPr>
  </w:style>
  <w:style w:type="paragraph" w:styleId="PlainText">
    <w:name w:val="Plain Text"/>
    <w:basedOn w:val="Normal"/>
    <w:link w:val="PlainTextChar"/>
    <w:uiPriority w:val="99"/>
    <w:semiHidden/>
    <w:unhideWhenUsed/>
    <w:rsid w:val="007C17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1716"/>
    <w:rPr>
      <w:rFonts w:ascii="Calibri" w:hAnsi="Calibri"/>
      <w:szCs w:val="21"/>
    </w:rPr>
  </w:style>
  <w:style w:type="paragraph" w:styleId="NormalWeb">
    <w:name w:val="Normal (Web)"/>
    <w:basedOn w:val="Normal"/>
    <w:uiPriority w:val="99"/>
    <w:unhideWhenUsed/>
    <w:rsid w:val="00A9633B"/>
    <w:pPr>
      <w:spacing w:after="0" w:line="240" w:lineRule="auto"/>
    </w:pPr>
    <w:rPr>
      <w:rFonts w:ascii="Calibri" w:hAnsi="Calibri" w:cs="Calibri"/>
      <w:lang w:val="en-US"/>
    </w:rPr>
  </w:style>
  <w:style w:type="paragraph" w:customStyle="1" w:styleId="Default">
    <w:name w:val="Default"/>
    <w:rsid w:val="00BF504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1715">
      <w:bodyDiv w:val="1"/>
      <w:marLeft w:val="0"/>
      <w:marRight w:val="0"/>
      <w:marTop w:val="0"/>
      <w:marBottom w:val="0"/>
      <w:divBdr>
        <w:top w:val="none" w:sz="0" w:space="0" w:color="auto"/>
        <w:left w:val="none" w:sz="0" w:space="0" w:color="auto"/>
        <w:bottom w:val="none" w:sz="0" w:space="0" w:color="auto"/>
        <w:right w:val="none" w:sz="0" w:space="0" w:color="auto"/>
      </w:divBdr>
    </w:div>
    <w:div w:id="86124606">
      <w:bodyDiv w:val="1"/>
      <w:marLeft w:val="0"/>
      <w:marRight w:val="0"/>
      <w:marTop w:val="0"/>
      <w:marBottom w:val="0"/>
      <w:divBdr>
        <w:top w:val="none" w:sz="0" w:space="0" w:color="auto"/>
        <w:left w:val="none" w:sz="0" w:space="0" w:color="auto"/>
        <w:bottom w:val="none" w:sz="0" w:space="0" w:color="auto"/>
        <w:right w:val="none" w:sz="0" w:space="0" w:color="auto"/>
      </w:divBdr>
    </w:div>
    <w:div w:id="108858615">
      <w:bodyDiv w:val="1"/>
      <w:marLeft w:val="0"/>
      <w:marRight w:val="0"/>
      <w:marTop w:val="0"/>
      <w:marBottom w:val="0"/>
      <w:divBdr>
        <w:top w:val="none" w:sz="0" w:space="0" w:color="auto"/>
        <w:left w:val="none" w:sz="0" w:space="0" w:color="auto"/>
        <w:bottom w:val="none" w:sz="0" w:space="0" w:color="auto"/>
        <w:right w:val="none" w:sz="0" w:space="0" w:color="auto"/>
      </w:divBdr>
    </w:div>
    <w:div w:id="155150134">
      <w:bodyDiv w:val="1"/>
      <w:marLeft w:val="0"/>
      <w:marRight w:val="0"/>
      <w:marTop w:val="0"/>
      <w:marBottom w:val="0"/>
      <w:divBdr>
        <w:top w:val="none" w:sz="0" w:space="0" w:color="auto"/>
        <w:left w:val="none" w:sz="0" w:space="0" w:color="auto"/>
        <w:bottom w:val="none" w:sz="0" w:space="0" w:color="auto"/>
        <w:right w:val="none" w:sz="0" w:space="0" w:color="auto"/>
      </w:divBdr>
    </w:div>
    <w:div w:id="160394844">
      <w:bodyDiv w:val="1"/>
      <w:marLeft w:val="0"/>
      <w:marRight w:val="0"/>
      <w:marTop w:val="0"/>
      <w:marBottom w:val="0"/>
      <w:divBdr>
        <w:top w:val="none" w:sz="0" w:space="0" w:color="auto"/>
        <w:left w:val="none" w:sz="0" w:space="0" w:color="auto"/>
        <w:bottom w:val="none" w:sz="0" w:space="0" w:color="auto"/>
        <w:right w:val="none" w:sz="0" w:space="0" w:color="auto"/>
      </w:divBdr>
    </w:div>
    <w:div w:id="228156898">
      <w:bodyDiv w:val="1"/>
      <w:marLeft w:val="0"/>
      <w:marRight w:val="0"/>
      <w:marTop w:val="0"/>
      <w:marBottom w:val="0"/>
      <w:divBdr>
        <w:top w:val="none" w:sz="0" w:space="0" w:color="auto"/>
        <w:left w:val="none" w:sz="0" w:space="0" w:color="auto"/>
        <w:bottom w:val="none" w:sz="0" w:space="0" w:color="auto"/>
        <w:right w:val="none" w:sz="0" w:space="0" w:color="auto"/>
      </w:divBdr>
    </w:div>
    <w:div w:id="314189286">
      <w:bodyDiv w:val="1"/>
      <w:marLeft w:val="0"/>
      <w:marRight w:val="0"/>
      <w:marTop w:val="0"/>
      <w:marBottom w:val="0"/>
      <w:divBdr>
        <w:top w:val="none" w:sz="0" w:space="0" w:color="auto"/>
        <w:left w:val="none" w:sz="0" w:space="0" w:color="auto"/>
        <w:bottom w:val="none" w:sz="0" w:space="0" w:color="auto"/>
        <w:right w:val="none" w:sz="0" w:space="0" w:color="auto"/>
      </w:divBdr>
    </w:div>
    <w:div w:id="368606811">
      <w:bodyDiv w:val="1"/>
      <w:marLeft w:val="0"/>
      <w:marRight w:val="0"/>
      <w:marTop w:val="0"/>
      <w:marBottom w:val="0"/>
      <w:divBdr>
        <w:top w:val="none" w:sz="0" w:space="0" w:color="auto"/>
        <w:left w:val="none" w:sz="0" w:space="0" w:color="auto"/>
        <w:bottom w:val="none" w:sz="0" w:space="0" w:color="auto"/>
        <w:right w:val="none" w:sz="0" w:space="0" w:color="auto"/>
      </w:divBdr>
    </w:div>
    <w:div w:id="397827547">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514424076">
      <w:bodyDiv w:val="1"/>
      <w:marLeft w:val="0"/>
      <w:marRight w:val="0"/>
      <w:marTop w:val="0"/>
      <w:marBottom w:val="0"/>
      <w:divBdr>
        <w:top w:val="none" w:sz="0" w:space="0" w:color="auto"/>
        <w:left w:val="none" w:sz="0" w:space="0" w:color="auto"/>
        <w:bottom w:val="none" w:sz="0" w:space="0" w:color="auto"/>
        <w:right w:val="none" w:sz="0" w:space="0" w:color="auto"/>
      </w:divBdr>
    </w:div>
    <w:div w:id="541673990">
      <w:bodyDiv w:val="1"/>
      <w:marLeft w:val="0"/>
      <w:marRight w:val="0"/>
      <w:marTop w:val="0"/>
      <w:marBottom w:val="0"/>
      <w:divBdr>
        <w:top w:val="none" w:sz="0" w:space="0" w:color="auto"/>
        <w:left w:val="none" w:sz="0" w:space="0" w:color="auto"/>
        <w:bottom w:val="none" w:sz="0" w:space="0" w:color="auto"/>
        <w:right w:val="none" w:sz="0" w:space="0" w:color="auto"/>
      </w:divBdr>
    </w:div>
    <w:div w:id="594442172">
      <w:bodyDiv w:val="1"/>
      <w:marLeft w:val="0"/>
      <w:marRight w:val="0"/>
      <w:marTop w:val="0"/>
      <w:marBottom w:val="0"/>
      <w:divBdr>
        <w:top w:val="none" w:sz="0" w:space="0" w:color="auto"/>
        <w:left w:val="none" w:sz="0" w:space="0" w:color="auto"/>
        <w:bottom w:val="none" w:sz="0" w:space="0" w:color="auto"/>
        <w:right w:val="none" w:sz="0" w:space="0" w:color="auto"/>
      </w:divBdr>
    </w:div>
    <w:div w:id="595361652">
      <w:bodyDiv w:val="1"/>
      <w:marLeft w:val="0"/>
      <w:marRight w:val="0"/>
      <w:marTop w:val="0"/>
      <w:marBottom w:val="0"/>
      <w:divBdr>
        <w:top w:val="none" w:sz="0" w:space="0" w:color="auto"/>
        <w:left w:val="none" w:sz="0" w:space="0" w:color="auto"/>
        <w:bottom w:val="none" w:sz="0" w:space="0" w:color="auto"/>
        <w:right w:val="none" w:sz="0" w:space="0" w:color="auto"/>
      </w:divBdr>
    </w:div>
    <w:div w:id="596131515">
      <w:bodyDiv w:val="1"/>
      <w:marLeft w:val="0"/>
      <w:marRight w:val="0"/>
      <w:marTop w:val="0"/>
      <w:marBottom w:val="0"/>
      <w:divBdr>
        <w:top w:val="none" w:sz="0" w:space="0" w:color="auto"/>
        <w:left w:val="none" w:sz="0" w:space="0" w:color="auto"/>
        <w:bottom w:val="none" w:sz="0" w:space="0" w:color="auto"/>
        <w:right w:val="none" w:sz="0" w:space="0" w:color="auto"/>
      </w:divBdr>
    </w:div>
    <w:div w:id="679311929">
      <w:bodyDiv w:val="1"/>
      <w:marLeft w:val="0"/>
      <w:marRight w:val="0"/>
      <w:marTop w:val="0"/>
      <w:marBottom w:val="0"/>
      <w:divBdr>
        <w:top w:val="none" w:sz="0" w:space="0" w:color="auto"/>
        <w:left w:val="none" w:sz="0" w:space="0" w:color="auto"/>
        <w:bottom w:val="none" w:sz="0" w:space="0" w:color="auto"/>
        <w:right w:val="none" w:sz="0" w:space="0" w:color="auto"/>
      </w:divBdr>
    </w:div>
    <w:div w:id="714476069">
      <w:bodyDiv w:val="1"/>
      <w:marLeft w:val="0"/>
      <w:marRight w:val="0"/>
      <w:marTop w:val="0"/>
      <w:marBottom w:val="0"/>
      <w:divBdr>
        <w:top w:val="none" w:sz="0" w:space="0" w:color="auto"/>
        <w:left w:val="none" w:sz="0" w:space="0" w:color="auto"/>
        <w:bottom w:val="none" w:sz="0" w:space="0" w:color="auto"/>
        <w:right w:val="none" w:sz="0" w:space="0" w:color="auto"/>
      </w:divBdr>
    </w:div>
    <w:div w:id="718633491">
      <w:bodyDiv w:val="1"/>
      <w:marLeft w:val="0"/>
      <w:marRight w:val="0"/>
      <w:marTop w:val="0"/>
      <w:marBottom w:val="0"/>
      <w:divBdr>
        <w:top w:val="none" w:sz="0" w:space="0" w:color="auto"/>
        <w:left w:val="none" w:sz="0" w:space="0" w:color="auto"/>
        <w:bottom w:val="none" w:sz="0" w:space="0" w:color="auto"/>
        <w:right w:val="none" w:sz="0" w:space="0" w:color="auto"/>
      </w:divBdr>
    </w:div>
    <w:div w:id="794296895">
      <w:bodyDiv w:val="1"/>
      <w:marLeft w:val="0"/>
      <w:marRight w:val="0"/>
      <w:marTop w:val="0"/>
      <w:marBottom w:val="0"/>
      <w:divBdr>
        <w:top w:val="none" w:sz="0" w:space="0" w:color="auto"/>
        <w:left w:val="none" w:sz="0" w:space="0" w:color="auto"/>
        <w:bottom w:val="none" w:sz="0" w:space="0" w:color="auto"/>
        <w:right w:val="none" w:sz="0" w:space="0" w:color="auto"/>
      </w:divBdr>
    </w:div>
    <w:div w:id="810250820">
      <w:bodyDiv w:val="1"/>
      <w:marLeft w:val="0"/>
      <w:marRight w:val="0"/>
      <w:marTop w:val="0"/>
      <w:marBottom w:val="0"/>
      <w:divBdr>
        <w:top w:val="none" w:sz="0" w:space="0" w:color="auto"/>
        <w:left w:val="none" w:sz="0" w:space="0" w:color="auto"/>
        <w:bottom w:val="none" w:sz="0" w:space="0" w:color="auto"/>
        <w:right w:val="none" w:sz="0" w:space="0" w:color="auto"/>
      </w:divBdr>
    </w:div>
    <w:div w:id="812912679">
      <w:bodyDiv w:val="1"/>
      <w:marLeft w:val="0"/>
      <w:marRight w:val="0"/>
      <w:marTop w:val="0"/>
      <w:marBottom w:val="0"/>
      <w:divBdr>
        <w:top w:val="none" w:sz="0" w:space="0" w:color="auto"/>
        <w:left w:val="none" w:sz="0" w:space="0" w:color="auto"/>
        <w:bottom w:val="none" w:sz="0" w:space="0" w:color="auto"/>
        <w:right w:val="none" w:sz="0" w:space="0" w:color="auto"/>
      </w:divBdr>
    </w:div>
    <w:div w:id="817069452">
      <w:bodyDiv w:val="1"/>
      <w:marLeft w:val="0"/>
      <w:marRight w:val="0"/>
      <w:marTop w:val="0"/>
      <w:marBottom w:val="0"/>
      <w:divBdr>
        <w:top w:val="none" w:sz="0" w:space="0" w:color="auto"/>
        <w:left w:val="none" w:sz="0" w:space="0" w:color="auto"/>
        <w:bottom w:val="none" w:sz="0" w:space="0" w:color="auto"/>
        <w:right w:val="none" w:sz="0" w:space="0" w:color="auto"/>
      </w:divBdr>
    </w:div>
    <w:div w:id="826941200">
      <w:bodyDiv w:val="1"/>
      <w:marLeft w:val="0"/>
      <w:marRight w:val="0"/>
      <w:marTop w:val="0"/>
      <w:marBottom w:val="0"/>
      <w:divBdr>
        <w:top w:val="none" w:sz="0" w:space="0" w:color="auto"/>
        <w:left w:val="none" w:sz="0" w:space="0" w:color="auto"/>
        <w:bottom w:val="none" w:sz="0" w:space="0" w:color="auto"/>
        <w:right w:val="none" w:sz="0" w:space="0" w:color="auto"/>
      </w:divBdr>
    </w:div>
    <w:div w:id="915893593">
      <w:bodyDiv w:val="1"/>
      <w:marLeft w:val="0"/>
      <w:marRight w:val="0"/>
      <w:marTop w:val="0"/>
      <w:marBottom w:val="0"/>
      <w:divBdr>
        <w:top w:val="none" w:sz="0" w:space="0" w:color="auto"/>
        <w:left w:val="none" w:sz="0" w:space="0" w:color="auto"/>
        <w:bottom w:val="none" w:sz="0" w:space="0" w:color="auto"/>
        <w:right w:val="none" w:sz="0" w:space="0" w:color="auto"/>
      </w:divBdr>
    </w:div>
    <w:div w:id="937908469">
      <w:bodyDiv w:val="1"/>
      <w:marLeft w:val="0"/>
      <w:marRight w:val="0"/>
      <w:marTop w:val="0"/>
      <w:marBottom w:val="0"/>
      <w:divBdr>
        <w:top w:val="none" w:sz="0" w:space="0" w:color="auto"/>
        <w:left w:val="none" w:sz="0" w:space="0" w:color="auto"/>
        <w:bottom w:val="none" w:sz="0" w:space="0" w:color="auto"/>
        <w:right w:val="none" w:sz="0" w:space="0" w:color="auto"/>
      </w:divBdr>
    </w:div>
    <w:div w:id="958221716">
      <w:bodyDiv w:val="1"/>
      <w:marLeft w:val="0"/>
      <w:marRight w:val="0"/>
      <w:marTop w:val="0"/>
      <w:marBottom w:val="0"/>
      <w:divBdr>
        <w:top w:val="none" w:sz="0" w:space="0" w:color="auto"/>
        <w:left w:val="none" w:sz="0" w:space="0" w:color="auto"/>
        <w:bottom w:val="none" w:sz="0" w:space="0" w:color="auto"/>
        <w:right w:val="none" w:sz="0" w:space="0" w:color="auto"/>
      </w:divBdr>
    </w:div>
    <w:div w:id="964892026">
      <w:bodyDiv w:val="1"/>
      <w:marLeft w:val="0"/>
      <w:marRight w:val="0"/>
      <w:marTop w:val="0"/>
      <w:marBottom w:val="0"/>
      <w:divBdr>
        <w:top w:val="none" w:sz="0" w:space="0" w:color="auto"/>
        <w:left w:val="none" w:sz="0" w:space="0" w:color="auto"/>
        <w:bottom w:val="none" w:sz="0" w:space="0" w:color="auto"/>
        <w:right w:val="none" w:sz="0" w:space="0" w:color="auto"/>
      </w:divBdr>
    </w:div>
    <w:div w:id="96562531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09797463">
      <w:bodyDiv w:val="1"/>
      <w:marLeft w:val="0"/>
      <w:marRight w:val="0"/>
      <w:marTop w:val="0"/>
      <w:marBottom w:val="0"/>
      <w:divBdr>
        <w:top w:val="none" w:sz="0" w:space="0" w:color="auto"/>
        <w:left w:val="none" w:sz="0" w:space="0" w:color="auto"/>
        <w:bottom w:val="none" w:sz="0" w:space="0" w:color="auto"/>
        <w:right w:val="none" w:sz="0" w:space="0" w:color="auto"/>
      </w:divBdr>
    </w:div>
    <w:div w:id="1012338650">
      <w:bodyDiv w:val="1"/>
      <w:marLeft w:val="0"/>
      <w:marRight w:val="0"/>
      <w:marTop w:val="0"/>
      <w:marBottom w:val="0"/>
      <w:divBdr>
        <w:top w:val="none" w:sz="0" w:space="0" w:color="auto"/>
        <w:left w:val="none" w:sz="0" w:space="0" w:color="auto"/>
        <w:bottom w:val="none" w:sz="0" w:space="0" w:color="auto"/>
        <w:right w:val="none" w:sz="0" w:space="0" w:color="auto"/>
      </w:divBdr>
    </w:div>
    <w:div w:id="1013143882">
      <w:bodyDiv w:val="1"/>
      <w:marLeft w:val="0"/>
      <w:marRight w:val="0"/>
      <w:marTop w:val="0"/>
      <w:marBottom w:val="0"/>
      <w:divBdr>
        <w:top w:val="none" w:sz="0" w:space="0" w:color="auto"/>
        <w:left w:val="none" w:sz="0" w:space="0" w:color="auto"/>
        <w:bottom w:val="none" w:sz="0" w:space="0" w:color="auto"/>
        <w:right w:val="none" w:sz="0" w:space="0" w:color="auto"/>
      </w:divBdr>
    </w:div>
    <w:div w:id="1051417212">
      <w:bodyDiv w:val="1"/>
      <w:marLeft w:val="0"/>
      <w:marRight w:val="0"/>
      <w:marTop w:val="0"/>
      <w:marBottom w:val="0"/>
      <w:divBdr>
        <w:top w:val="none" w:sz="0" w:space="0" w:color="auto"/>
        <w:left w:val="none" w:sz="0" w:space="0" w:color="auto"/>
        <w:bottom w:val="none" w:sz="0" w:space="0" w:color="auto"/>
        <w:right w:val="none" w:sz="0" w:space="0" w:color="auto"/>
      </w:divBdr>
    </w:div>
    <w:div w:id="1067612966">
      <w:bodyDiv w:val="1"/>
      <w:marLeft w:val="0"/>
      <w:marRight w:val="0"/>
      <w:marTop w:val="0"/>
      <w:marBottom w:val="0"/>
      <w:divBdr>
        <w:top w:val="none" w:sz="0" w:space="0" w:color="auto"/>
        <w:left w:val="none" w:sz="0" w:space="0" w:color="auto"/>
        <w:bottom w:val="none" w:sz="0" w:space="0" w:color="auto"/>
        <w:right w:val="none" w:sz="0" w:space="0" w:color="auto"/>
      </w:divBdr>
    </w:div>
    <w:div w:id="1089355024">
      <w:bodyDiv w:val="1"/>
      <w:marLeft w:val="0"/>
      <w:marRight w:val="0"/>
      <w:marTop w:val="0"/>
      <w:marBottom w:val="0"/>
      <w:divBdr>
        <w:top w:val="none" w:sz="0" w:space="0" w:color="auto"/>
        <w:left w:val="none" w:sz="0" w:space="0" w:color="auto"/>
        <w:bottom w:val="none" w:sz="0" w:space="0" w:color="auto"/>
        <w:right w:val="none" w:sz="0" w:space="0" w:color="auto"/>
      </w:divBdr>
    </w:div>
    <w:div w:id="1116868495">
      <w:bodyDiv w:val="1"/>
      <w:marLeft w:val="0"/>
      <w:marRight w:val="0"/>
      <w:marTop w:val="0"/>
      <w:marBottom w:val="0"/>
      <w:divBdr>
        <w:top w:val="none" w:sz="0" w:space="0" w:color="auto"/>
        <w:left w:val="none" w:sz="0" w:space="0" w:color="auto"/>
        <w:bottom w:val="none" w:sz="0" w:space="0" w:color="auto"/>
        <w:right w:val="none" w:sz="0" w:space="0" w:color="auto"/>
      </w:divBdr>
    </w:div>
    <w:div w:id="1130124427">
      <w:bodyDiv w:val="1"/>
      <w:marLeft w:val="0"/>
      <w:marRight w:val="0"/>
      <w:marTop w:val="0"/>
      <w:marBottom w:val="0"/>
      <w:divBdr>
        <w:top w:val="none" w:sz="0" w:space="0" w:color="auto"/>
        <w:left w:val="none" w:sz="0" w:space="0" w:color="auto"/>
        <w:bottom w:val="none" w:sz="0" w:space="0" w:color="auto"/>
        <w:right w:val="none" w:sz="0" w:space="0" w:color="auto"/>
      </w:divBdr>
    </w:div>
    <w:div w:id="1130824960">
      <w:bodyDiv w:val="1"/>
      <w:marLeft w:val="0"/>
      <w:marRight w:val="0"/>
      <w:marTop w:val="0"/>
      <w:marBottom w:val="0"/>
      <w:divBdr>
        <w:top w:val="none" w:sz="0" w:space="0" w:color="auto"/>
        <w:left w:val="none" w:sz="0" w:space="0" w:color="auto"/>
        <w:bottom w:val="none" w:sz="0" w:space="0" w:color="auto"/>
        <w:right w:val="none" w:sz="0" w:space="0" w:color="auto"/>
      </w:divBdr>
    </w:div>
    <w:div w:id="1154641596">
      <w:bodyDiv w:val="1"/>
      <w:marLeft w:val="0"/>
      <w:marRight w:val="0"/>
      <w:marTop w:val="0"/>
      <w:marBottom w:val="0"/>
      <w:divBdr>
        <w:top w:val="none" w:sz="0" w:space="0" w:color="auto"/>
        <w:left w:val="none" w:sz="0" w:space="0" w:color="auto"/>
        <w:bottom w:val="none" w:sz="0" w:space="0" w:color="auto"/>
        <w:right w:val="none" w:sz="0" w:space="0" w:color="auto"/>
      </w:divBdr>
    </w:div>
    <w:div w:id="1196503777">
      <w:bodyDiv w:val="1"/>
      <w:marLeft w:val="0"/>
      <w:marRight w:val="0"/>
      <w:marTop w:val="0"/>
      <w:marBottom w:val="0"/>
      <w:divBdr>
        <w:top w:val="none" w:sz="0" w:space="0" w:color="auto"/>
        <w:left w:val="none" w:sz="0" w:space="0" w:color="auto"/>
        <w:bottom w:val="none" w:sz="0" w:space="0" w:color="auto"/>
        <w:right w:val="none" w:sz="0" w:space="0" w:color="auto"/>
      </w:divBdr>
    </w:div>
    <w:div w:id="1222207400">
      <w:bodyDiv w:val="1"/>
      <w:marLeft w:val="0"/>
      <w:marRight w:val="0"/>
      <w:marTop w:val="0"/>
      <w:marBottom w:val="0"/>
      <w:divBdr>
        <w:top w:val="none" w:sz="0" w:space="0" w:color="auto"/>
        <w:left w:val="none" w:sz="0" w:space="0" w:color="auto"/>
        <w:bottom w:val="none" w:sz="0" w:space="0" w:color="auto"/>
        <w:right w:val="none" w:sz="0" w:space="0" w:color="auto"/>
      </w:divBdr>
    </w:div>
    <w:div w:id="1230766938">
      <w:bodyDiv w:val="1"/>
      <w:marLeft w:val="0"/>
      <w:marRight w:val="0"/>
      <w:marTop w:val="0"/>
      <w:marBottom w:val="0"/>
      <w:divBdr>
        <w:top w:val="none" w:sz="0" w:space="0" w:color="auto"/>
        <w:left w:val="none" w:sz="0" w:space="0" w:color="auto"/>
        <w:bottom w:val="none" w:sz="0" w:space="0" w:color="auto"/>
        <w:right w:val="none" w:sz="0" w:space="0" w:color="auto"/>
      </w:divBdr>
    </w:div>
    <w:div w:id="1273515381">
      <w:bodyDiv w:val="1"/>
      <w:marLeft w:val="0"/>
      <w:marRight w:val="0"/>
      <w:marTop w:val="0"/>
      <w:marBottom w:val="0"/>
      <w:divBdr>
        <w:top w:val="none" w:sz="0" w:space="0" w:color="auto"/>
        <w:left w:val="none" w:sz="0" w:space="0" w:color="auto"/>
        <w:bottom w:val="none" w:sz="0" w:space="0" w:color="auto"/>
        <w:right w:val="none" w:sz="0" w:space="0" w:color="auto"/>
      </w:divBdr>
    </w:div>
    <w:div w:id="1313564164">
      <w:bodyDiv w:val="1"/>
      <w:marLeft w:val="0"/>
      <w:marRight w:val="0"/>
      <w:marTop w:val="0"/>
      <w:marBottom w:val="0"/>
      <w:divBdr>
        <w:top w:val="none" w:sz="0" w:space="0" w:color="auto"/>
        <w:left w:val="none" w:sz="0" w:space="0" w:color="auto"/>
        <w:bottom w:val="none" w:sz="0" w:space="0" w:color="auto"/>
        <w:right w:val="none" w:sz="0" w:space="0" w:color="auto"/>
      </w:divBdr>
    </w:div>
    <w:div w:id="1327125718">
      <w:bodyDiv w:val="1"/>
      <w:marLeft w:val="0"/>
      <w:marRight w:val="0"/>
      <w:marTop w:val="0"/>
      <w:marBottom w:val="0"/>
      <w:divBdr>
        <w:top w:val="none" w:sz="0" w:space="0" w:color="auto"/>
        <w:left w:val="none" w:sz="0" w:space="0" w:color="auto"/>
        <w:bottom w:val="none" w:sz="0" w:space="0" w:color="auto"/>
        <w:right w:val="none" w:sz="0" w:space="0" w:color="auto"/>
      </w:divBdr>
    </w:div>
    <w:div w:id="1344817003">
      <w:bodyDiv w:val="1"/>
      <w:marLeft w:val="0"/>
      <w:marRight w:val="0"/>
      <w:marTop w:val="0"/>
      <w:marBottom w:val="0"/>
      <w:divBdr>
        <w:top w:val="none" w:sz="0" w:space="0" w:color="auto"/>
        <w:left w:val="none" w:sz="0" w:space="0" w:color="auto"/>
        <w:bottom w:val="none" w:sz="0" w:space="0" w:color="auto"/>
        <w:right w:val="none" w:sz="0" w:space="0" w:color="auto"/>
      </w:divBdr>
    </w:div>
    <w:div w:id="1397171392">
      <w:bodyDiv w:val="1"/>
      <w:marLeft w:val="0"/>
      <w:marRight w:val="0"/>
      <w:marTop w:val="0"/>
      <w:marBottom w:val="0"/>
      <w:divBdr>
        <w:top w:val="none" w:sz="0" w:space="0" w:color="auto"/>
        <w:left w:val="none" w:sz="0" w:space="0" w:color="auto"/>
        <w:bottom w:val="none" w:sz="0" w:space="0" w:color="auto"/>
        <w:right w:val="none" w:sz="0" w:space="0" w:color="auto"/>
      </w:divBdr>
    </w:div>
    <w:div w:id="1408771393">
      <w:bodyDiv w:val="1"/>
      <w:marLeft w:val="0"/>
      <w:marRight w:val="0"/>
      <w:marTop w:val="0"/>
      <w:marBottom w:val="0"/>
      <w:divBdr>
        <w:top w:val="none" w:sz="0" w:space="0" w:color="auto"/>
        <w:left w:val="none" w:sz="0" w:space="0" w:color="auto"/>
        <w:bottom w:val="none" w:sz="0" w:space="0" w:color="auto"/>
        <w:right w:val="none" w:sz="0" w:space="0" w:color="auto"/>
      </w:divBdr>
    </w:div>
    <w:div w:id="1549492356">
      <w:bodyDiv w:val="1"/>
      <w:marLeft w:val="0"/>
      <w:marRight w:val="0"/>
      <w:marTop w:val="0"/>
      <w:marBottom w:val="0"/>
      <w:divBdr>
        <w:top w:val="none" w:sz="0" w:space="0" w:color="auto"/>
        <w:left w:val="none" w:sz="0" w:space="0" w:color="auto"/>
        <w:bottom w:val="none" w:sz="0" w:space="0" w:color="auto"/>
        <w:right w:val="none" w:sz="0" w:space="0" w:color="auto"/>
      </w:divBdr>
    </w:div>
    <w:div w:id="1555694218">
      <w:bodyDiv w:val="1"/>
      <w:marLeft w:val="0"/>
      <w:marRight w:val="0"/>
      <w:marTop w:val="0"/>
      <w:marBottom w:val="0"/>
      <w:divBdr>
        <w:top w:val="none" w:sz="0" w:space="0" w:color="auto"/>
        <w:left w:val="none" w:sz="0" w:space="0" w:color="auto"/>
        <w:bottom w:val="none" w:sz="0" w:space="0" w:color="auto"/>
        <w:right w:val="none" w:sz="0" w:space="0" w:color="auto"/>
      </w:divBdr>
    </w:div>
    <w:div w:id="1561743142">
      <w:bodyDiv w:val="1"/>
      <w:marLeft w:val="0"/>
      <w:marRight w:val="0"/>
      <w:marTop w:val="0"/>
      <w:marBottom w:val="0"/>
      <w:divBdr>
        <w:top w:val="none" w:sz="0" w:space="0" w:color="auto"/>
        <w:left w:val="none" w:sz="0" w:space="0" w:color="auto"/>
        <w:bottom w:val="none" w:sz="0" w:space="0" w:color="auto"/>
        <w:right w:val="none" w:sz="0" w:space="0" w:color="auto"/>
      </w:divBdr>
    </w:div>
    <w:div w:id="1619295247">
      <w:bodyDiv w:val="1"/>
      <w:marLeft w:val="0"/>
      <w:marRight w:val="0"/>
      <w:marTop w:val="0"/>
      <w:marBottom w:val="0"/>
      <w:divBdr>
        <w:top w:val="none" w:sz="0" w:space="0" w:color="auto"/>
        <w:left w:val="none" w:sz="0" w:space="0" w:color="auto"/>
        <w:bottom w:val="none" w:sz="0" w:space="0" w:color="auto"/>
        <w:right w:val="none" w:sz="0" w:space="0" w:color="auto"/>
      </w:divBdr>
    </w:div>
    <w:div w:id="1620911934">
      <w:bodyDiv w:val="1"/>
      <w:marLeft w:val="0"/>
      <w:marRight w:val="0"/>
      <w:marTop w:val="0"/>
      <w:marBottom w:val="0"/>
      <w:divBdr>
        <w:top w:val="none" w:sz="0" w:space="0" w:color="auto"/>
        <w:left w:val="none" w:sz="0" w:space="0" w:color="auto"/>
        <w:bottom w:val="none" w:sz="0" w:space="0" w:color="auto"/>
        <w:right w:val="none" w:sz="0" w:space="0" w:color="auto"/>
      </w:divBdr>
    </w:div>
    <w:div w:id="1638412938">
      <w:bodyDiv w:val="1"/>
      <w:marLeft w:val="0"/>
      <w:marRight w:val="0"/>
      <w:marTop w:val="0"/>
      <w:marBottom w:val="0"/>
      <w:divBdr>
        <w:top w:val="none" w:sz="0" w:space="0" w:color="auto"/>
        <w:left w:val="none" w:sz="0" w:space="0" w:color="auto"/>
        <w:bottom w:val="none" w:sz="0" w:space="0" w:color="auto"/>
        <w:right w:val="none" w:sz="0" w:space="0" w:color="auto"/>
      </w:divBdr>
    </w:div>
    <w:div w:id="1686202444">
      <w:bodyDiv w:val="1"/>
      <w:marLeft w:val="0"/>
      <w:marRight w:val="0"/>
      <w:marTop w:val="0"/>
      <w:marBottom w:val="0"/>
      <w:divBdr>
        <w:top w:val="none" w:sz="0" w:space="0" w:color="auto"/>
        <w:left w:val="none" w:sz="0" w:space="0" w:color="auto"/>
        <w:bottom w:val="none" w:sz="0" w:space="0" w:color="auto"/>
        <w:right w:val="none" w:sz="0" w:space="0" w:color="auto"/>
      </w:divBdr>
    </w:div>
    <w:div w:id="1688097525">
      <w:bodyDiv w:val="1"/>
      <w:marLeft w:val="0"/>
      <w:marRight w:val="0"/>
      <w:marTop w:val="0"/>
      <w:marBottom w:val="0"/>
      <w:divBdr>
        <w:top w:val="none" w:sz="0" w:space="0" w:color="auto"/>
        <w:left w:val="none" w:sz="0" w:space="0" w:color="auto"/>
        <w:bottom w:val="none" w:sz="0" w:space="0" w:color="auto"/>
        <w:right w:val="none" w:sz="0" w:space="0" w:color="auto"/>
      </w:divBdr>
    </w:div>
    <w:div w:id="1692217732">
      <w:bodyDiv w:val="1"/>
      <w:marLeft w:val="0"/>
      <w:marRight w:val="0"/>
      <w:marTop w:val="0"/>
      <w:marBottom w:val="0"/>
      <w:divBdr>
        <w:top w:val="none" w:sz="0" w:space="0" w:color="auto"/>
        <w:left w:val="none" w:sz="0" w:space="0" w:color="auto"/>
        <w:bottom w:val="none" w:sz="0" w:space="0" w:color="auto"/>
        <w:right w:val="none" w:sz="0" w:space="0" w:color="auto"/>
      </w:divBdr>
    </w:div>
    <w:div w:id="1697778674">
      <w:bodyDiv w:val="1"/>
      <w:marLeft w:val="0"/>
      <w:marRight w:val="0"/>
      <w:marTop w:val="0"/>
      <w:marBottom w:val="0"/>
      <w:divBdr>
        <w:top w:val="none" w:sz="0" w:space="0" w:color="auto"/>
        <w:left w:val="none" w:sz="0" w:space="0" w:color="auto"/>
        <w:bottom w:val="none" w:sz="0" w:space="0" w:color="auto"/>
        <w:right w:val="none" w:sz="0" w:space="0" w:color="auto"/>
      </w:divBdr>
    </w:div>
    <w:div w:id="1699546769">
      <w:bodyDiv w:val="1"/>
      <w:marLeft w:val="0"/>
      <w:marRight w:val="0"/>
      <w:marTop w:val="0"/>
      <w:marBottom w:val="0"/>
      <w:divBdr>
        <w:top w:val="none" w:sz="0" w:space="0" w:color="auto"/>
        <w:left w:val="none" w:sz="0" w:space="0" w:color="auto"/>
        <w:bottom w:val="none" w:sz="0" w:space="0" w:color="auto"/>
        <w:right w:val="none" w:sz="0" w:space="0" w:color="auto"/>
      </w:divBdr>
    </w:div>
    <w:div w:id="1707293620">
      <w:bodyDiv w:val="1"/>
      <w:marLeft w:val="0"/>
      <w:marRight w:val="0"/>
      <w:marTop w:val="0"/>
      <w:marBottom w:val="0"/>
      <w:divBdr>
        <w:top w:val="none" w:sz="0" w:space="0" w:color="auto"/>
        <w:left w:val="none" w:sz="0" w:space="0" w:color="auto"/>
        <w:bottom w:val="none" w:sz="0" w:space="0" w:color="auto"/>
        <w:right w:val="none" w:sz="0" w:space="0" w:color="auto"/>
      </w:divBdr>
      <w:divsChild>
        <w:div w:id="558129233">
          <w:marLeft w:val="446"/>
          <w:marRight w:val="0"/>
          <w:marTop w:val="0"/>
          <w:marBottom w:val="0"/>
          <w:divBdr>
            <w:top w:val="none" w:sz="0" w:space="0" w:color="auto"/>
            <w:left w:val="none" w:sz="0" w:space="0" w:color="auto"/>
            <w:bottom w:val="none" w:sz="0" w:space="0" w:color="auto"/>
            <w:right w:val="none" w:sz="0" w:space="0" w:color="auto"/>
          </w:divBdr>
        </w:div>
        <w:div w:id="652828578">
          <w:marLeft w:val="446"/>
          <w:marRight w:val="0"/>
          <w:marTop w:val="0"/>
          <w:marBottom w:val="0"/>
          <w:divBdr>
            <w:top w:val="none" w:sz="0" w:space="0" w:color="auto"/>
            <w:left w:val="none" w:sz="0" w:space="0" w:color="auto"/>
            <w:bottom w:val="none" w:sz="0" w:space="0" w:color="auto"/>
            <w:right w:val="none" w:sz="0" w:space="0" w:color="auto"/>
          </w:divBdr>
        </w:div>
        <w:div w:id="1148018000">
          <w:marLeft w:val="446"/>
          <w:marRight w:val="0"/>
          <w:marTop w:val="0"/>
          <w:marBottom w:val="0"/>
          <w:divBdr>
            <w:top w:val="none" w:sz="0" w:space="0" w:color="auto"/>
            <w:left w:val="none" w:sz="0" w:space="0" w:color="auto"/>
            <w:bottom w:val="none" w:sz="0" w:space="0" w:color="auto"/>
            <w:right w:val="none" w:sz="0" w:space="0" w:color="auto"/>
          </w:divBdr>
        </w:div>
        <w:div w:id="485435519">
          <w:marLeft w:val="446"/>
          <w:marRight w:val="0"/>
          <w:marTop w:val="0"/>
          <w:marBottom w:val="0"/>
          <w:divBdr>
            <w:top w:val="none" w:sz="0" w:space="0" w:color="auto"/>
            <w:left w:val="none" w:sz="0" w:space="0" w:color="auto"/>
            <w:bottom w:val="none" w:sz="0" w:space="0" w:color="auto"/>
            <w:right w:val="none" w:sz="0" w:space="0" w:color="auto"/>
          </w:divBdr>
        </w:div>
        <w:div w:id="311566521">
          <w:marLeft w:val="446"/>
          <w:marRight w:val="0"/>
          <w:marTop w:val="0"/>
          <w:marBottom w:val="0"/>
          <w:divBdr>
            <w:top w:val="none" w:sz="0" w:space="0" w:color="auto"/>
            <w:left w:val="none" w:sz="0" w:space="0" w:color="auto"/>
            <w:bottom w:val="none" w:sz="0" w:space="0" w:color="auto"/>
            <w:right w:val="none" w:sz="0" w:space="0" w:color="auto"/>
          </w:divBdr>
        </w:div>
      </w:divsChild>
    </w:div>
    <w:div w:id="1806312385">
      <w:bodyDiv w:val="1"/>
      <w:marLeft w:val="0"/>
      <w:marRight w:val="0"/>
      <w:marTop w:val="0"/>
      <w:marBottom w:val="0"/>
      <w:divBdr>
        <w:top w:val="none" w:sz="0" w:space="0" w:color="auto"/>
        <w:left w:val="none" w:sz="0" w:space="0" w:color="auto"/>
        <w:bottom w:val="none" w:sz="0" w:space="0" w:color="auto"/>
        <w:right w:val="none" w:sz="0" w:space="0" w:color="auto"/>
      </w:divBdr>
    </w:div>
    <w:div w:id="1830440545">
      <w:bodyDiv w:val="1"/>
      <w:marLeft w:val="0"/>
      <w:marRight w:val="0"/>
      <w:marTop w:val="0"/>
      <w:marBottom w:val="0"/>
      <w:divBdr>
        <w:top w:val="none" w:sz="0" w:space="0" w:color="auto"/>
        <w:left w:val="none" w:sz="0" w:space="0" w:color="auto"/>
        <w:bottom w:val="none" w:sz="0" w:space="0" w:color="auto"/>
        <w:right w:val="none" w:sz="0" w:space="0" w:color="auto"/>
      </w:divBdr>
      <w:divsChild>
        <w:div w:id="1907492817">
          <w:marLeft w:val="446"/>
          <w:marRight w:val="0"/>
          <w:marTop w:val="0"/>
          <w:marBottom w:val="0"/>
          <w:divBdr>
            <w:top w:val="none" w:sz="0" w:space="0" w:color="auto"/>
            <w:left w:val="none" w:sz="0" w:space="0" w:color="auto"/>
            <w:bottom w:val="none" w:sz="0" w:space="0" w:color="auto"/>
            <w:right w:val="none" w:sz="0" w:space="0" w:color="auto"/>
          </w:divBdr>
        </w:div>
        <w:div w:id="1365449392">
          <w:marLeft w:val="446"/>
          <w:marRight w:val="0"/>
          <w:marTop w:val="0"/>
          <w:marBottom w:val="0"/>
          <w:divBdr>
            <w:top w:val="none" w:sz="0" w:space="0" w:color="auto"/>
            <w:left w:val="none" w:sz="0" w:space="0" w:color="auto"/>
            <w:bottom w:val="none" w:sz="0" w:space="0" w:color="auto"/>
            <w:right w:val="none" w:sz="0" w:space="0" w:color="auto"/>
          </w:divBdr>
        </w:div>
        <w:div w:id="1541817975">
          <w:marLeft w:val="446"/>
          <w:marRight w:val="0"/>
          <w:marTop w:val="0"/>
          <w:marBottom w:val="0"/>
          <w:divBdr>
            <w:top w:val="none" w:sz="0" w:space="0" w:color="auto"/>
            <w:left w:val="none" w:sz="0" w:space="0" w:color="auto"/>
            <w:bottom w:val="none" w:sz="0" w:space="0" w:color="auto"/>
            <w:right w:val="none" w:sz="0" w:space="0" w:color="auto"/>
          </w:divBdr>
        </w:div>
        <w:div w:id="804077759">
          <w:marLeft w:val="446"/>
          <w:marRight w:val="0"/>
          <w:marTop w:val="0"/>
          <w:marBottom w:val="0"/>
          <w:divBdr>
            <w:top w:val="none" w:sz="0" w:space="0" w:color="auto"/>
            <w:left w:val="none" w:sz="0" w:space="0" w:color="auto"/>
            <w:bottom w:val="none" w:sz="0" w:space="0" w:color="auto"/>
            <w:right w:val="none" w:sz="0" w:space="0" w:color="auto"/>
          </w:divBdr>
        </w:div>
        <w:div w:id="274099757">
          <w:marLeft w:val="446"/>
          <w:marRight w:val="0"/>
          <w:marTop w:val="0"/>
          <w:marBottom w:val="0"/>
          <w:divBdr>
            <w:top w:val="none" w:sz="0" w:space="0" w:color="auto"/>
            <w:left w:val="none" w:sz="0" w:space="0" w:color="auto"/>
            <w:bottom w:val="none" w:sz="0" w:space="0" w:color="auto"/>
            <w:right w:val="none" w:sz="0" w:space="0" w:color="auto"/>
          </w:divBdr>
        </w:div>
        <w:div w:id="523055208">
          <w:marLeft w:val="446"/>
          <w:marRight w:val="0"/>
          <w:marTop w:val="0"/>
          <w:marBottom w:val="0"/>
          <w:divBdr>
            <w:top w:val="none" w:sz="0" w:space="0" w:color="auto"/>
            <w:left w:val="none" w:sz="0" w:space="0" w:color="auto"/>
            <w:bottom w:val="none" w:sz="0" w:space="0" w:color="auto"/>
            <w:right w:val="none" w:sz="0" w:space="0" w:color="auto"/>
          </w:divBdr>
        </w:div>
        <w:div w:id="309789799">
          <w:marLeft w:val="446"/>
          <w:marRight w:val="0"/>
          <w:marTop w:val="0"/>
          <w:marBottom w:val="0"/>
          <w:divBdr>
            <w:top w:val="none" w:sz="0" w:space="0" w:color="auto"/>
            <w:left w:val="none" w:sz="0" w:space="0" w:color="auto"/>
            <w:bottom w:val="none" w:sz="0" w:space="0" w:color="auto"/>
            <w:right w:val="none" w:sz="0" w:space="0" w:color="auto"/>
          </w:divBdr>
        </w:div>
        <w:div w:id="1428647813">
          <w:marLeft w:val="446"/>
          <w:marRight w:val="0"/>
          <w:marTop w:val="0"/>
          <w:marBottom w:val="0"/>
          <w:divBdr>
            <w:top w:val="none" w:sz="0" w:space="0" w:color="auto"/>
            <w:left w:val="none" w:sz="0" w:space="0" w:color="auto"/>
            <w:bottom w:val="none" w:sz="0" w:space="0" w:color="auto"/>
            <w:right w:val="none" w:sz="0" w:space="0" w:color="auto"/>
          </w:divBdr>
        </w:div>
      </w:divsChild>
    </w:div>
    <w:div w:id="1831865591">
      <w:bodyDiv w:val="1"/>
      <w:marLeft w:val="0"/>
      <w:marRight w:val="0"/>
      <w:marTop w:val="0"/>
      <w:marBottom w:val="0"/>
      <w:divBdr>
        <w:top w:val="none" w:sz="0" w:space="0" w:color="auto"/>
        <w:left w:val="none" w:sz="0" w:space="0" w:color="auto"/>
        <w:bottom w:val="none" w:sz="0" w:space="0" w:color="auto"/>
        <w:right w:val="none" w:sz="0" w:space="0" w:color="auto"/>
      </w:divBdr>
    </w:div>
    <w:div w:id="1979413832">
      <w:bodyDiv w:val="1"/>
      <w:marLeft w:val="0"/>
      <w:marRight w:val="0"/>
      <w:marTop w:val="0"/>
      <w:marBottom w:val="0"/>
      <w:divBdr>
        <w:top w:val="none" w:sz="0" w:space="0" w:color="auto"/>
        <w:left w:val="none" w:sz="0" w:space="0" w:color="auto"/>
        <w:bottom w:val="none" w:sz="0" w:space="0" w:color="auto"/>
        <w:right w:val="none" w:sz="0" w:space="0" w:color="auto"/>
      </w:divBdr>
    </w:div>
    <w:div w:id="1989092149">
      <w:bodyDiv w:val="1"/>
      <w:marLeft w:val="0"/>
      <w:marRight w:val="0"/>
      <w:marTop w:val="0"/>
      <w:marBottom w:val="0"/>
      <w:divBdr>
        <w:top w:val="none" w:sz="0" w:space="0" w:color="auto"/>
        <w:left w:val="none" w:sz="0" w:space="0" w:color="auto"/>
        <w:bottom w:val="none" w:sz="0" w:space="0" w:color="auto"/>
        <w:right w:val="none" w:sz="0" w:space="0" w:color="auto"/>
      </w:divBdr>
    </w:div>
    <w:div w:id="1995525929">
      <w:bodyDiv w:val="1"/>
      <w:marLeft w:val="0"/>
      <w:marRight w:val="0"/>
      <w:marTop w:val="0"/>
      <w:marBottom w:val="0"/>
      <w:divBdr>
        <w:top w:val="none" w:sz="0" w:space="0" w:color="auto"/>
        <w:left w:val="none" w:sz="0" w:space="0" w:color="auto"/>
        <w:bottom w:val="none" w:sz="0" w:space="0" w:color="auto"/>
        <w:right w:val="none" w:sz="0" w:space="0" w:color="auto"/>
      </w:divBdr>
    </w:div>
    <w:div w:id="2009408703">
      <w:bodyDiv w:val="1"/>
      <w:marLeft w:val="0"/>
      <w:marRight w:val="0"/>
      <w:marTop w:val="0"/>
      <w:marBottom w:val="0"/>
      <w:divBdr>
        <w:top w:val="none" w:sz="0" w:space="0" w:color="auto"/>
        <w:left w:val="none" w:sz="0" w:space="0" w:color="auto"/>
        <w:bottom w:val="none" w:sz="0" w:space="0" w:color="auto"/>
        <w:right w:val="none" w:sz="0" w:space="0" w:color="auto"/>
      </w:divBdr>
    </w:div>
    <w:div w:id="2049599100">
      <w:bodyDiv w:val="1"/>
      <w:marLeft w:val="0"/>
      <w:marRight w:val="0"/>
      <w:marTop w:val="0"/>
      <w:marBottom w:val="0"/>
      <w:divBdr>
        <w:top w:val="none" w:sz="0" w:space="0" w:color="auto"/>
        <w:left w:val="none" w:sz="0" w:space="0" w:color="auto"/>
        <w:bottom w:val="none" w:sz="0" w:space="0" w:color="auto"/>
        <w:right w:val="none" w:sz="0" w:space="0" w:color="auto"/>
      </w:divBdr>
    </w:div>
    <w:div w:id="2078433379">
      <w:bodyDiv w:val="1"/>
      <w:marLeft w:val="0"/>
      <w:marRight w:val="0"/>
      <w:marTop w:val="0"/>
      <w:marBottom w:val="0"/>
      <w:divBdr>
        <w:top w:val="none" w:sz="0" w:space="0" w:color="auto"/>
        <w:left w:val="none" w:sz="0" w:space="0" w:color="auto"/>
        <w:bottom w:val="none" w:sz="0" w:space="0" w:color="auto"/>
        <w:right w:val="none" w:sz="0" w:space="0" w:color="auto"/>
      </w:divBdr>
    </w:div>
    <w:div w:id="2082408098">
      <w:bodyDiv w:val="1"/>
      <w:marLeft w:val="0"/>
      <w:marRight w:val="0"/>
      <w:marTop w:val="0"/>
      <w:marBottom w:val="0"/>
      <w:divBdr>
        <w:top w:val="none" w:sz="0" w:space="0" w:color="auto"/>
        <w:left w:val="none" w:sz="0" w:space="0" w:color="auto"/>
        <w:bottom w:val="none" w:sz="0" w:space="0" w:color="auto"/>
        <w:right w:val="none" w:sz="0" w:space="0" w:color="auto"/>
      </w:divBdr>
    </w:div>
    <w:div w:id="2124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11</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Brosnahan</dc:creator>
  <cp:lastModifiedBy>Rachel Brosnahan</cp:lastModifiedBy>
  <cp:revision>14</cp:revision>
  <cp:lastPrinted>2017-09-21T14:22:00Z</cp:lastPrinted>
  <dcterms:created xsi:type="dcterms:W3CDTF">2018-05-09T08:19:00Z</dcterms:created>
  <dcterms:modified xsi:type="dcterms:W3CDTF">2018-05-10T21:18:00Z</dcterms:modified>
</cp:coreProperties>
</file>