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0107" w14:textId="6480C695" w:rsidR="00EE5F90" w:rsidRDefault="000627E8" w:rsidP="00ED565F">
      <w:r>
        <w:t xml:space="preserve"> </w:t>
      </w:r>
    </w:p>
    <w:p w14:paraId="68CD984C" w14:textId="77777777" w:rsidR="00D82618" w:rsidRDefault="00D82618" w:rsidP="000D76BF">
      <w:pPr>
        <w:spacing w:after="0" w:line="240" w:lineRule="auto"/>
        <w:jc w:val="center"/>
        <w:rPr>
          <w:b/>
          <w:sz w:val="36"/>
          <w:szCs w:val="36"/>
        </w:rPr>
      </w:pPr>
    </w:p>
    <w:p w14:paraId="3EA93E53" w14:textId="77777777" w:rsidR="008122E7" w:rsidRDefault="008122E7" w:rsidP="00266EFD">
      <w:pPr>
        <w:spacing w:after="0"/>
        <w:jc w:val="center"/>
        <w:rPr>
          <w:rFonts w:asciiTheme="minorHAnsi" w:hAnsiTheme="minorHAnsi"/>
          <w:b/>
          <w:sz w:val="28"/>
          <w:szCs w:val="28"/>
        </w:rPr>
      </w:pPr>
      <w:bookmarkStart w:id="0" w:name="_Hlk8297665"/>
    </w:p>
    <w:p w14:paraId="1776A095" w14:textId="7AF5B18C" w:rsidR="008122E7" w:rsidRPr="00ED0522" w:rsidRDefault="008122E7" w:rsidP="00266EFD">
      <w:pPr>
        <w:spacing w:after="120"/>
        <w:jc w:val="center"/>
        <w:rPr>
          <w:rFonts w:asciiTheme="minorHAnsi" w:hAnsiTheme="minorHAnsi"/>
          <w:b/>
          <w:sz w:val="28"/>
          <w:szCs w:val="28"/>
        </w:rPr>
      </w:pPr>
      <w:r w:rsidRPr="00ED0522">
        <w:rPr>
          <w:rFonts w:asciiTheme="minorHAnsi" w:hAnsiTheme="minorHAnsi"/>
          <w:b/>
          <w:sz w:val="28"/>
          <w:szCs w:val="28"/>
        </w:rPr>
        <w:t>Cheshire and Warrington Local Enterprise Partnership Board Meeting</w:t>
      </w:r>
    </w:p>
    <w:tbl>
      <w:tblPr>
        <w:tblStyle w:val="TableGrid"/>
        <w:tblW w:w="9781" w:type="dxa"/>
        <w:tblInd w:w="-5" w:type="dxa"/>
        <w:tblLook w:val="04A0" w:firstRow="1" w:lastRow="0" w:firstColumn="1" w:lastColumn="0" w:noHBand="0" w:noVBand="1"/>
      </w:tblPr>
      <w:tblGrid>
        <w:gridCol w:w="1560"/>
        <w:gridCol w:w="8221"/>
      </w:tblGrid>
      <w:tr w:rsidR="008122E7" w:rsidRPr="00ED0522" w14:paraId="460117FA" w14:textId="77777777" w:rsidTr="008122E7">
        <w:tc>
          <w:tcPr>
            <w:tcW w:w="1560" w:type="dxa"/>
            <w:shd w:val="clear" w:color="auto" w:fill="F2F2F2" w:themeFill="background1" w:themeFillShade="F2"/>
          </w:tcPr>
          <w:p w14:paraId="3CFB420E" w14:textId="77777777" w:rsidR="008122E7" w:rsidRPr="00ED0522" w:rsidRDefault="008122E7" w:rsidP="008E7D61">
            <w:pPr>
              <w:rPr>
                <w:rFonts w:asciiTheme="minorHAnsi" w:hAnsiTheme="minorHAnsi"/>
                <w:b/>
              </w:rPr>
            </w:pPr>
            <w:r w:rsidRPr="00ED0522">
              <w:rPr>
                <w:rFonts w:asciiTheme="minorHAnsi" w:hAnsiTheme="minorHAnsi"/>
                <w:b/>
              </w:rPr>
              <w:t xml:space="preserve">Agenda Item: </w:t>
            </w:r>
          </w:p>
        </w:tc>
        <w:tc>
          <w:tcPr>
            <w:tcW w:w="8221" w:type="dxa"/>
          </w:tcPr>
          <w:p w14:paraId="0E21E955" w14:textId="00871B8C" w:rsidR="008122E7" w:rsidRPr="008122E7" w:rsidRDefault="00FB523D" w:rsidP="008E7D61">
            <w:pPr>
              <w:rPr>
                <w:rFonts w:cstheme="majorHAnsi"/>
                <w:bCs/>
              </w:rPr>
            </w:pPr>
            <w:r>
              <w:rPr>
                <w:rFonts w:cstheme="majorHAnsi"/>
                <w:bCs/>
              </w:rPr>
              <w:t xml:space="preserve">7 </w:t>
            </w:r>
            <w:r w:rsidR="00D61086">
              <w:rPr>
                <w:rFonts w:cstheme="majorHAnsi"/>
                <w:bCs/>
              </w:rPr>
              <w:t>b</w:t>
            </w:r>
            <w:bookmarkStart w:id="1" w:name="_GoBack"/>
            <w:bookmarkEnd w:id="1"/>
          </w:p>
        </w:tc>
      </w:tr>
      <w:tr w:rsidR="008122E7" w:rsidRPr="00ED0522" w14:paraId="5E51B579" w14:textId="77777777" w:rsidTr="008122E7">
        <w:tc>
          <w:tcPr>
            <w:tcW w:w="1560" w:type="dxa"/>
            <w:shd w:val="clear" w:color="auto" w:fill="F2F2F2" w:themeFill="background1" w:themeFillShade="F2"/>
          </w:tcPr>
          <w:p w14:paraId="3301B135" w14:textId="77777777" w:rsidR="008122E7" w:rsidRPr="00ED0522" w:rsidRDefault="008122E7" w:rsidP="008E7D61">
            <w:pPr>
              <w:rPr>
                <w:rFonts w:asciiTheme="minorHAnsi" w:hAnsiTheme="minorHAnsi"/>
                <w:b/>
              </w:rPr>
            </w:pPr>
            <w:r w:rsidRPr="00ED0522">
              <w:rPr>
                <w:rFonts w:asciiTheme="minorHAnsi" w:hAnsiTheme="minorHAnsi"/>
                <w:b/>
              </w:rPr>
              <w:t>Subject:</w:t>
            </w:r>
          </w:p>
        </w:tc>
        <w:tc>
          <w:tcPr>
            <w:tcW w:w="8221" w:type="dxa"/>
          </w:tcPr>
          <w:p w14:paraId="62F7FA7F" w14:textId="4CADD4A6" w:rsidR="008122E7" w:rsidRPr="008122E7" w:rsidRDefault="008122E7" w:rsidP="008E7D61">
            <w:pPr>
              <w:rPr>
                <w:rFonts w:cstheme="majorHAnsi"/>
                <w:bCs/>
              </w:rPr>
            </w:pPr>
            <w:r w:rsidRPr="008122E7">
              <w:rPr>
                <w:rFonts w:cstheme="majorHAnsi"/>
                <w:bCs/>
              </w:rPr>
              <w:t xml:space="preserve">Enterprise Zone Investment – </w:t>
            </w:r>
            <w:r w:rsidR="007C454C">
              <w:rPr>
                <w:rFonts w:cstheme="majorHAnsi"/>
                <w:bCs/>
              </w:rPr>
              <w:t>Blocks 22-24, Alderley Park</w:t>
            </w:r>
          </w:p>
        </w:tc>
      </w:tr>
      <w:tr w:rsidR="008122E7" w:rsidRPr="00ED0522" w14:paraId="5365539D" w14:textId="77777777" w:rsidTr="008122E7">
        <w:tc>
          <w:tcPr>
            <w:tcW w:w="1560" w:type="dxa"/>
            <w:shd w:val="clear" w:color="auto" w:fill="F2F2F2" w:themeFill="background1" w:themeFillShade="F2"/>
          </w:tcPr>
          <w:p w14:paraId="7FABCCE7" w14:textId="77777777" w:rsidR="008122E7" w:rsidRPr="00ED0522" w:rsidRDefault="008122E7" w:rsidP="008E7D61">
            <w:pPr>
              <w:rPr>
                <w:rFonts w:asciiTheme="minorHAnsi" w:hAnsiTheme="minorHAnsi"/>
                <w:b/>
              </w:rPr>
            </w:pPr>
            <w:r w:rsidRPr="00ED0522">
              <w:rPr>
                <w:rFonts w:asciiTheme="minorHAnsi" w:hAnsiTheme="minorHAnsi"/>
                <w:b/>
              </w:rPr>
              <w:t>Author:</w:t>
            </w:r>
          </w:p>
        </w:tc>
        <w:tc>
          <w:tcPr>
            <w:tcW w:w="8221" w:type="dxa"/>
          </w:tcPr>
          <w:p w14:paraId="7CE0B3F9" w14:textId="77777777" w:rsidR="008122E7" w:rsidRPr="008122E7" w:rsidRDefault="008122E7" w:rsidP="008E7D61">
            <w:pPr>
              <w:rPr>
                <w:rFonts w:cstheme="majorHAnsi"/>
                <w:bCs/>
              </w:rPr>
            </w:pPr>
            <w:r w:rsidRPr="008122E7">
              <w:rPr>
                <w:rFonts w:cstheme="majorHAnsi"/>
                <w:bCs/>
              </w:rPr>
              <w:t>John Adlen</w:t>
            </w:r>
          </w:p>
        </w:tc>
      </w:tr>
      <w:tr w:rsidR="008122E7" w:rsidRPr="00ED0522" w14:paraId="0C1C78D8" w14:textId="77777777" w:rsidTr="008122E7">
        <w:tc>
          <w:tcPr>
            <w:tcW w:w="1560" w:type="dxa"/>
            <w:shd w:val="clear" w:color="auto" w:fill="F2F2F2" w:themeFill="background1" w:themeFillShade="F2"/>
          </w:tcPr>
          <w:p w14:paraId="7145871F" w14:textId="77777777" w:rsidR="008122E7" w:rsidRPr="00ED0522" w:rsidRDefault="008122E7" w:rsidP="008E7D61">
            <w:pPr>
              <w:rPr>
                <w:rFonts w:asciiTheme="minorHAnsi" w:hAnsiTheme="minorHAnsi"/>
                <w:b/>
              </w:rPr>
            </w:pPr>
            <w:r w:rsidRPr="00ED0522">
              <w:rPr>
                <w:rFonts w:asciiTheme="minorHAnsi" w:hAnsiTheme="minorHAnsi"/>
                <w:b/>
              </w:rPr>
              <w:t>Date:</w:t>
            </w:r>
          </w:p>
        </w:tc>
        <w:tc>
          <w:tcPr>
            <w:tcW w:w="8221" w:type="dxa"/>
          </w:tcPr>
          <w:p w14:paraId="135DAF58" w14:textId="7A97F2EA" w:rsidR="008122E7" w:rsidRPr="008122E7" w:rsidRDefault="008122E7" w:rsidP="008E7D61">
            <w:pPr>
              <w:rPr>
                <w:rFonts w:cstheme="majorHAnsi"/>
                <w:bCs/>
              </w:rPr>
            </w:pPr>
            <w:r>
              <w:rPr>
                <w:rFonts w:cstheme="majorHAnsi"/>
                <w:bCs/>
              </w:rPr>
              <w:t>18 March 2020</w:t>
            </w:r>
          </w:p>
        </w:tc>
      </w:tr>
    </w:tbl>
    <w:bookmarkEnd w:id="0"/>
    <w:p w14:paraId="63B168AD" w14:textId="79616CCF" w:rsidR="0058398E" w:rsidRDefault="008122E7" w:rsidP="00270AFF">
      <w:pPr>
        <w:pStyle w:val="Heading1"/>
        <w:numPr>
          <w:ilvl w:val="0"/>
          <w:numId w:val="23"/>
        </w:numPr>
        <w:spacing w:after="0"/>
        <w:ind w:left="425" w:hanging="425"/>
        <w:jc w:val="both"/>
      </w:pPr>
      <w:r>
        <w:t>Executive summary</w:t>
      </w:r>
    </w:p>
    <w:p w14:paraId="2B768642" w14:textId="77777777" w:rsidR="007C454C" w:rsidRDefault="007C454C" w:rsidP="007C454C">
      <w:pPr>
        <w:ind w:left="426"/>
        <w:jc w:val="both"/>
      </w:pPr>
      <w:r>
        <w:t>Alderley Park Limited (APL) has applied for a total of £4m investment in respect of two projects to refurbish Block 22 and the basement of Blocks 23/24 at Alderley Park that will provide a total of 9,011 sqm (c.97,000 sq ft) of refurbished laboratory space. Both of these projects include a contribution towards the development of a new 2,247 space multi-storey car park (MSCP) on the site. The two projects could generate c.£401,500 per annum in retained business rates, generating up to £8.2m in retained business rates over the remaining lifetime of the EZ. On this basis the investment would pay back in 9.9 years. The applicant is seeking grant funding for the two projects on the basis of a gap in the overall financial viability of the schemes, which is exacerbated by abnormal infrastructure costs relating to the MSCP. Whilst these are two separate projects, they are being presented in a single business case for EZ investment due to MSCP element which is common to both projects.</w:t>
      </w:r>
    </w:p>
    <w:p w14:paraId="3C18839E" w14:textId="0A79AB1D" w:rsidR="007C454C" w:rsidRDefault="007C454C" w:rsidP="007C454C">
      <w:pPr>
        <w:ind w:left="426"/>
        <w:jc w:val="both"/>
      </w:pPr>
      <w:r>
        <w:t>At its September 2019 meeting, the EZ Board instructed the Growth Director to seek further clarifications regarding the MSCP and the financial split between the two projects. The EZ Board subsequently approved the two projects via correspondence subject the EZ borrowing facility being approved and subject to the condition</w:t>
      </w:r>
      <w:r w:rsidR="008E7D61">
        <w:t>s</w:t>
      </w:r>
      <w:r>
        <w:t xml:space="preserve"> set out in the recommendation below. The Performance &amp; Investment Committee approved the investment at its February </w:t>
      </w:r>
      <w:r w:rsidR="008E7D61">
        <w:t xml:space="preserve">2020 </w:t>
      </w:r>
      <w:r>
        <w:t>meeting with the same conditions.</w:t>
      </w:r>
    </w:p>
    <w:p w14:paraId="6D215842" w14:textId="77777777" w:rsidR="00DC25EE" w:rsidRDefault="00DC25EE" w:rsidP="00DC25EE">
      <w:pPr>
        <w:ind w:left="426"/>
        <w:jc w:val="both"/>
      </w:pPr>
      <w:r>
        <w:t xml:space="preserve">A copy of the term sheet is attached at </w:t>
      </w:r>
      <w:r w:rsidRPr="00DC25EE">
        <w:rPr>
          <w:rFonts w:asciiTheme="minorHAnsi" w:hAnsiTheme="minorHAnsi" w:cstheme="minorHAnsi"/>
          <w:b/>
          <w:bCs/>
        </w:rPr>
        <w:t>Appendix A</w:t>
      </w:r>
      <w:r>
        <w:t xml:space="preserve"> of this report. In order to cut down on the level of paperwork distributed, copies of the full business case and the Cushman &amp; Wakefield appraisal report are available to Board Members on request.</w:t>
      </w:r>
    </w:p>
    <w:p w14:paraId="54440BCB" w14:textId="1254590D" w:rsidR="00147308" w:rsidRDefault="00147308" w:rsidP="00270AFF">
      <w:pPr>
        <w:pStyle w:val="Heading1"/>
        <w:numPr>
          <w:ilvl w:val="0"/>
          <w:numId w:val="23"/>
        </w:numPr>
        <w:spacing w:after="0"/>
        <w:ind w:left="425" w:hanging="425"/>
        <w:jc w:val="both"/>
        <w:rPr>
          <w:rFonts w:cstheme="majorHAnsi"/>
        </w:rPr>
      </w:pPr>
      <w:r w:rsidRPr="00F073C7">
        <w:rPr>
          <w:rFonts w:cstheme="majorHAnsi"/>
        </w:rPr>
        <w:t>Recommendations</w:t>
      </w:r>
      <w:r w:rsidR="008122E7">
        <w:rPr>
          <w:rFonts w:cstheme="majorHAnsi"/>
        </w:rPr>
        <w:t>/actions/decisions required</w:t>
      </w:r>
    </w:p>
    <w:p w14:paraId="33EB8B80" w14:textId="77777777" w:rsidR="00DC25EE" w:rsidRDefault="00DC25EE" w:rsidP="00DC25EE">
      <w:pPr>
        <w:ind w:left="426"/>
        <w:jc w:val="both"/>
      </w:pPr>
      <w:bookmarkStart w:id="2" w:name="_Hlk34843151"/>
      <w:r w:rsidRPr="00F156F1">
        <w:t xml:space="preserve">it </w:t>
      </w:r>
      <w:r>
        <w:t>is recommended that the LEP Board ratifies the decision of the Enterprise Zone Board and the Performance &amp; Investment Committee</w:t>
      </w:r>
      <w:r w:rsidRPr="00F156F1">
        <w:t xml:space="preserve"> </w:t>
      </w:r>
      <w:r>
        <w:t>to approve the investment in the Block 22 and Blocks 23 &amp; 24 projects at Alderley Park and delegates authority to the Chair of the Enterprise Zone Board to sign the legal agreement with the applicant, subject to the following conditions:</w:t>
      </w:r>
    </w:p>
    <w:p w14:paraId="6E537A73" w14:textId="77777777" w:rsidR="00DC25EE" w:rsidRDefault="00DC25EE" w:rsidP="00DC25EE">
      <w:pPr>
        <w:pStyle w:val="ListParagraph"/>
        <w:numPr>
          <w:ilvl w:val="0"/>
          <w:numId w:val="49"/>
        </w:numPr>
        <w:ind w:left="850" w:hanging="425"/>
        <w:contextualSpacing w:val="0"/>
        <w:jc w:val="both"/>
      </w:pPr>
      <w:r>
        <w:t>EZ loan facility being in place</w:t>
      </w:r>
    </w:p>
    <w:p w14:paraId="138D7C86" w14:textId="77777777" w:rsidR="00DC25EE" w:rsidRDefault="00DC25EE" w:rsidP="00DC25EE">
      <w:pPr>
        <w:pStyle w:val="ListParagraph"/>
        <w:numPr>
          <w:ilvl w:val="0"/>
          <w:numId w:val="49"/>
        </w:numPr>
        <w:ind w:left="850" w:hanging="425"/>
        <w:contextualSpacing w:val="0"/>
        <w:jc w:val="both"/>
      </w:pPr>
      <w:r>
        <w:t>Sign off by the LEP’s legal advisers of a satisfactory State Aid opinion from the applicant’s legal advisers.</w:t>
      </w:r>
    </w:p>
    <w:p w14:paraId="5468EE43" w14:textId="77777777" w:rsidR="00270AFF" w:rsidRDefault="00270AFF" w:rsidP="00270AFF">
      <w:pPr>
        <w:spacing w:line="257" w:lineRule="auto"/>
        <w:ind w:left="426"/>
        <w:jc w:val="both"/>
        <w:rPr>
          <w:rFonts w:ascii="Calibri Light" w:eastAsia="Calibri" w:hAnsi="Calibri Light" w:cs="Times New Roman"/>
        </w:rPr>
        <w:sectPr w:rsidR="00270AFF" w:rsidSect="00C50A24">
          <w:headerReference w:type="default" r:id="rId8"/>
          <w:footerReference w:type="default" r:id="rId9"/>
          <w:pgSz w:w="11906" w:h="16838"/>
          <w:pgMar w:top="1440" w:right="1080" w:bottom="1440" w:left="1080" w:header="708" w:footer="708" w:gutter="0"/>
          <w:cols w:space="708"/>
          <w:docGrid w:linePitch="360"/>
        </w:sectPr>
      </w:pPr>
      <w:bookmarkStart w:id="3" w:name="_Hlk519425815"/>
      <w:bookmarkEnd w:id="2"/>
    </w:p>
    <w:p w14:paraId="76C0A483" w14:textId="77777777" w:rsidR="00DC25EE" w:rsidRPr="00270AFF" w:rsidRDefault="00DC25EE" w:rsidP="00DC25EE">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sidRPr="00270AFF">
        <w:rPr>
          <w:rFonts w:asciiTheme="minorHAnsi" w:eastAsiaTheme="majorEastAsia" w:hAnsiTheme="minorHAnsi" w:cstheme="majorBidi"/>
          <w:b/>
          <w:szCs w:val="24"/>
        </w:rPr>
        <w:lastRenderedPageBreak/>
        <w:t>Background</w:t>
      </w:r>
    </w:p>
    <w:p w14:paraId="5774368A" w14:textId="77777777" w:rsidR="00DC25EE" w:rsidRDefault="00DC25EE" w:rsidP="00DC25EE">
      <w:pPr>
        <w:spacing w:line="257" w:lineRule="auto"/>
        <w:ind w:left="426"/>
        <w:jc w:val="both"/>
        <w:rPr>
          <w:rFonts w:ascii="Calibri Light" w:eastAsia="Calibri" w:hAnsi="Calibri Light" w:cs="Times New Roman"/>
        </w:rPr>
      </w:pPr>
      <w:r w:rsidRPr="007C454C">
        <w:rPr>
          <w:rFonts w:ascii="Calibri Light" w:eastAsia="Calibri" w:hAnsi="Calibri Light" w:cs="Times New Roman"/>
        </w:rPr>
        <w:t>Bruntwood bought Alderley Park from Astra Zeneca in 2014 following Astra Zeneca’s decision to relocate their R&amp;D headquarters to Cambridge. Astra Zeneca are vacating the site much slower than originally expected and are still occupying a significant proportion of high quality floorspace. High levels of demand, compounded by limited space available, means that APL have been forced to bring forward more complex redevelopment schemes. A lot of the site that has been handed back is either physically inaccessible directly from public realm areas or is in a currently un-lettable state due to either the condition or current use of the space, which in turn sees APL moving forward with Block 22 and Blocks 23-24 earlier than expected.</w:t>
      </w:r>
    </w:p>
    <w:p w14:paraId="334E99A7" w14:textId="4C238AE5" w:rsidR="007C454C" w:rsidRPr="00270AFF" w:rsidRDefault="007C454C" w:rsidP="007C454C">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Pr>
          <w:rFonts w:asciiTheme="minorHAnsi" w:eastAsiaTheme="majorEastAsia" w:hAnsiTheme="minorHAnsi" w:cstheme="majorBidi"/>
          <w:b/>
          <w:szCs w:val="24"/>
        </w:rPr>
        <w:t>Scheme p</w:t>
      </w:r>
      <w:r w:rsidRPr="00270AFF">
        <w:rPr>
          <w:rFonts w:asciiTheme="minorHAnsi" w:eastAsiaTheme="majorEastAsia" w:hAnsiTheme="minorHAnsi" w:cstheme="majorBidi"/>
          <w:b/>
          <w:szCs w:val="24"/>
        </w:rPr>
        <w:t>roposal</w:t>
      </w:r>
    </w:p>
    <w:p w14:paraId="03380138" w14:textId="77777777" w:rsidR="007C454C" w:rsidRDefault="007C454C" w:rsidP="007C454C">
      <w:pPr>
        <w:ind w:left="426"/>
        <w:jc w:val="both"/>
      </w:pPr>
      <w:r>
        <w:t>Alderley Park Limited (APL) has applied for a total of £4m investment in respect of two projects to refurbish Block 22 and the basement of Blocks 23/24 at Alderley Park that will provide a total of 9,011 sqm (c.97,000 sq ft) of refurbished laboratory space. Both of these projects include a contribution towards the development of a new 2,247 space multi‐storey car park (MSCP) on the site.</w:t>
      </w:r>
    </w:p>
    <w:p w14:paraId="169382FC" w14:textId="038033F6" w:rsidR="007C454C" w:rsidRDefault="007C454C" w:rsidP="007C454C">
      <w:pPr>
        <w:ind w:left="426"/>
        <w:jc w:val="both"/>
      </w:pPr>
      <w:r>
        <w:t xml:space="preserve">The two projects to redevelop Block 22 and Blocks 23 &amp; 24, will see the refurbishment of ex-invivo space to a modern laboratory facility. The initial scope of the project will see a comprehensive strip out of what is currently a heavily cellurised building. Once this is complete, the intention is to fit out Block 22 to an enhanced shell and core to enable future customers to shape their own labs as they see appropriate. Blocks 23 &amp; 24 would be completed to fully formed labs on a speculative basis. </w:t>
      </w:r>
    </w:p>
    <w:p w14:paraId="3414B586" w14:textId="77777777" w:rsidR="007C454C" w:rsidRDefault="007C454C" w:rsidP="007C454C">
      <w:pPr>
        <w:ind w:left="426"/>
        <w:jc w:val="both"/>
      </w:pPr>
      <w:r>
        <w:t>The projects will provide a mix of small, medium (2,000‐5,000 sq ft) units in Blocks 23/24 and larger (10,000 sq ft) biology and chemistry labs and associated write up space in Block 22. Enquiries at Alderley Park range from 100 to 60,000 sq ft and around 40% could be accommodated within the space proposed within these two projects, supporting demand for the projects and the applicant’s confidence that the space will let quickly.</w:t>
      </w:r>
    </w:p>
    <w:p w14:paraId="19849419" w14:textId="77777777" w:rsidR="007C454C" w:rsidRDefault="007C454C" w:rsidP="007C454C">
      <w:pPr>
        <w:ind w:left="426"/>
        <w:jc w:val="both"/>
      </w:pPr>
      <w:r>
        <w:t>The delivery of this project is contingent of the delivery of a new Multi Storey Car Park (MSCP). The relocation of Royal London onto Alderley Park has meant a significant reduction in the number of available car parking spaces on site. The new multi storey car park will deliver 2,247 spaces. Without the car park, it is highly unlikely that the proposed schemes could be delivered successfully. The MSCP is required to facilitate anticipated employee growth at Alderley Park over the next three years. There are currently 2,500 spaces catering for 2,000 staff, but 6,000 employees are anticipated over the next 3‐years. Without the new 2,247 space MSCP, the ability to attract and retain businesses and staff at Alderley Park, and continue its successful delivery of new space is severely constrained.</w:t>
      </w:r>
    </w:p>
    <w:p w14:paraId="3D6DAB3A" w14:textId="0E324253" w:rsidR="007C454C" w:rsidRDefault="007C454C" w:rsidP="007C454C">
      <w:pPr>
        <w:ind w:left="426"/>
        <w:jc w:val="both"/>
      </w:pPr>
      <w:r>
        <w:t>Completing these separate projects would significantly assist in delivery the objectives for the site, which primarily include assisting in the target of 75,000 sq ft of science lettings per annum. Block 22 will specifically deliver labs &amp; write up space of c. 11,000 sq ft, whilst 23 &amp; 24 will deliver small to medium biology labs from 2,000 sq ft to 5,000 sq ft.</w:t>
      </w:r>
    </w:p>
    <w:p w14:paraId="478EF879" w14:textId="77777777" w:rsidR="00DC25EE" w:rsidRDefault="00DC25EE">
      <w:pPr>
        <w:rPr>
          <w:rFonts w:asciiTheme="minorHAnsi" w:eastAsia="Calibri" w:hAnsiTheme="minorHAnsi" w:cs="Times New Roman"/>
          <w:b/>
        </w:rPr>
      </w:pPr>
      <w:r>
        <w:rPr>
          <w:rFonts w:asciiTheme="minorHAnsi" w:eastAsia="Calibri" w:hAnsiTheme="minorHAnsi" w:cs="Times New Roman"/>
          <w:b/>
        </w:rPr>
        <w:br w:type="page"/>
      </w:r>
    </w:p>
    <w:p w14:paraId="0F08AF08" w14:textId="18EFEE20" w:rsidR="008122E7" w:rsidRDefault="008122E7" w:rsidP="00DA7BE4">
      <w:pPr>
        <w:numPr>
          <w:ilvl w:val="0"/>
          <w:numId w:val="23"/>
        </w:numPr>
        <w:spacing w:line="257" w:lineRule="auto"/>
        <w:ind w:left="426" w:hanging="426"/>
        <w:contextualSpacing/>
        <w:jc w:val="both"/>
        <w:rPr>
          <w:rFonts w:asciiTheme="minorHAnsi" w:eastAsia="Calibri" w:hAnsiTheme="minorHAnsi" w:cs="Times New Roman"/>
          <w:b/>
        </w:rPr>
      </w:pPr>
      <w:r>
        <w:rPr>
          <w:rFonts w:asciiTheme="minorHAnsi" w:eastAsia="Calibri" w:hAnsiTheme="minorHAnsi" w:cs="Times New Roman"/>
          <w:b/>
        </w:rPr>
        <w:lastRenderedPageBreak/>
        <w:t>Financial summary</w:t>
      </w:r>
    </w:p>
    <w:tbl>
      <w:tblPr>
        <w:tblStyle w:val="TableGrid"/>
        <w:tblW w:w="9213" w:type="dxa"/>
        <w:tblInd w:w="421" w:type="dxa"/>
        <w:tblLayout w:type="fixed"/>
        <w:tblLook w:val="04A0" w:firstRow="1" w:lastRow="0" w:firstColumn="1" w:lastColumn="0" w:noHBand="0" w:noVBand="1"/>
      </w:tblPr>
      <w:tblGrid>
        <w:gridCol w:w="3543"/>
        <w:gridCol w:w="1890"/>
        <w:gridCol w:w="1890"/>
        <w:gridCol w:w="1890"/>
      </w:tblGrid>
      <w:tr w:rsidR="007C454C" w:rsidRPr="007C454C" w14:paraId="4F3BF809" w14:textId="77777777" w:rsidTr="007C454C">
        <w:tc>
          <w:tcPr>
            <w:tcW w:w="3543" w:type="dxa"/>
            <w:shd w:val="clear" w:color="auto" w:fill="000000" w:themeFill="text1"/>
            <w:vAlign w:val="center"/>
          </w:tcPr>
          <w:p w14:paraId="06234F46" w14:textId="77777777" w:rsidR="007C454C" w:rsidRPr="007C454C" w:rsidRDefault="007C454C" w:rsidP="008E7D61">
            <w:pPr>
              <w:spacing w:before="60" w:after="40"/>
              <w:rPr>
                <w:rFonts w:asciiTheme="minorHAnsi" w:hAnsiTheme="minorHAnsi" w:cstheme="minorHAnsi"/>
                <w:b/>
                <w:sz w:val="20"/>
                <w:szCs w:val="20"/>
              </w:rPr>
            </w:pPr>
            <w:bookmarkStart w:id="4" w:name="_Hlk34830805"/>
            <w:r w:rsidRPr="007C454C">
              <w:rPr>
                <w:rFonts w:asciiTheme="minorHAnsi" w:hAnsiTheme="minorHAnsi" w:cstheme="minorHAnsi"/>
                <w:b/>
                <w:sz w:val="20"/>
                <w:szCs w:val="20"/>
              </w:rPr>
              <w:t>Project Item</w:t>
            </w:r>
          </w:p>
        </w:tc>
        <w:tc>
          <w:tcPr>
            <w:tcW w:w="1890" w:type="dxa"/>
            <w:shd w:val="clear" w:color="auto" w:fill="000000" w:themeFill="text1"/>
            <w:vAlign w:val="center"/>
          </w:tcPr>
          <w:p w14:paraId="13A4E149" w14:textId="77777777" w:rsidR="007C454C" w:rsidRPr="007C454C" w:rsidRDefault="007C454C" w:rsidP="008E7D61">
            <w:pPr>
              <w:spacing w:before="60" w:after="40"/>
              <w:jc w:val="center"/>
              <w:rPr>
                <w:rFonts w:asciiTheme="minorHAnsi" w:hAnsiTheme="minorHAnsi" w:cstheme="minorHAnsi"/>
                <w:b/>
                <w:sz w:val="20"/>
                <w:szCs w:val="20"/>
              </w:rPr>
            </w:pPr>
            <w:r w:rsidRPr="007C454C">
              <w:rPr>
                <w:rFonts w:asciiTheme="minorHAnsi" w:hAnsiTheme="minorHAnsi" w:cstheme="minorHAnsi"/>
                <w:b/>
                <w:sz w:val="20"/>
                <w:szCs w:val="20"/>
              </w:rPr>
              <w:t>Block 22</w:t>
            </w:r>
          </w:p>
        </w:tc>
        <w:tc>
          <w:tcPr>
            <w:tcW w:w="1890" w:type="dxa"/>
            <w:shd w:val="clear" w:color="auto" w:fill="000000" w:themeFill="text1"/>
          </w:tcPr>
          <w:p w14:paraId="3763717B" w14:textId="77777777" w:rsidR="007C454C" w:rsidRPr="007C454C" w:rsidRDefault="007C454C" w:rsidP="008E7D61">
            <w:pPr>
              <w:spacing w:before="60" w:after="40"/>
              <w:jc w:val="center"/>
              <w:rPr>
                <w:rFonts w:asciiTheme="minorHAnsi" w:hAnsiTheme="minorHAnsi" w:cstheme="minorHAnsi"/>
                <w:b/>
                <w:sz w:val="20"/>
                <w:szCs w:val="20"/>
              </w:rPr>
            </w:pPr>
            <w:r w:rsidRPr="007C454C">
              <w:rPr>
                <w:rFonts w:asciiTheme="minorHAnsi" w:hAnsiTheme="minorHAnsi" w:cstheme="minorHAnsi"/>
                <w:b/>
                <w:sz w:val="20"/>
                <w:szCs w:val="20"/>
              </w:rPr>
              <w:t>Blocks 23-24</w:t>
            </w:r>
          </w:p>
        </w:tc>
        <w:tc>
          <w:tcPr>
            <w:tcW w:w="1890" w:type="dxa"/>
            <w:shd w:val="clear" w:color="auto" w:fill="000000" w:themeFill="text1"/>
          </w:tcPr>
          <w:p w14:paraId="7D054BDA" w14:textId="77777777" w:rsidR="007C454C" w:rsidRPr="007C454C" w:rsidRDefault="007C454C" w:rsidP="008E7D61">
            <w:pPr>
              <w:spacing w:before="60" w:after="40"/>
              <w:jc w:val="center"/>
              <w:rPr>
                <w:rFonts w:asciiTheme="minorHAnsi" w:hAnsiTheme="minorHAnsi" w:cstheme="minorHAnsi"/>
                <w:b/>
                <w:sz w:val="20"/>
                <w:szCs w:val="20"/>
              </w:rPr>
            </w:pPr>
            <w:r w:rsidRPr="007C454C">
              <w:rPr>
                <w:rFonts w:asciiTheme="minorHAnsi" w:hAnsiTheme="minorHAnsi" w:cstheme="minorHAnsi"/>
                <w:b/>
                <w:sz w:val="20"/>
                <w:szCs w:val="20"/>
              </w:rPr>
              <w:t>Total</w:t>
            </w:r>
          </w:p>
        </w:tc>
      </w:tr>
      <w:tr w:rsidR="007C454C" w:rsidRPr="007C454C" w14:paraId="6E9F45EC" w14:textId="77777777" w:rsidTr="008E7D61">
        <w:tc>
          <w:tcPr>
            <w:tcW w:w="9213" w:type="dxa"/>
            <w:gridSpan w:val="4"/>
            <w:shd w:val="clear" w:color="auto" w:fill="D9D9D9" w:themeFill="background1" w:themeFillShade="D9"/>
          </w:tcPr>
          <w:p w14:paraId="34F32355" w14:textId="0381DB04" w:rsidR="007C454C" w:rsidRPr="007C454C" w:rsidRDefault="007C454C" w:rsidP="008E7D61">
            <w:pPr>
              <w:spacing w:before="60" w:after="40"/>
              <w:rPr>
                <w:rFonts w:asciiTheme="minorHAnsi" w:hAnsiTheme="minorHAnsi" w:cstheme="minorHAnsi"/>
                <w:b/>
                <w:sz w:val="20"/>
                <w:szCs w:val="20"/>
              </w:rPr>
            </w:pPr>
            <w:r w:rsidRPr="007C454C">
              <w:rPr>
                <w:rFonts w:asciiTheme="minorHAnsi" w:hAnsiTheme="minorHAnsi" w:cstheme="minorHAnsi"/>
                <w:b/>
                <w:sz w:val="20"/>
                <w:szCs w:val="20"/>
              </w:rPr>
              <w:t>Costs</w:t>
            </w:r>
          </w:p>
        </w:tc>
      </w:tr>
      <w:tr w:rsidR="007C454C" w:rsidRPr="007C454C" w14:paraId="5A4DE460" w14:textId="77777777" w:rsidTr="007C454C">
        <w:tc>
          <w:tcPr>
            <w:tcW w:w="3543" w:type="dxa"/>
            <w:shd w:val="clear" w:color="auto" w:fill="auto"/>
          </w:tcPr>
          <w:p w14:paraId="6F4A6AF7" w14:textId="77777777" w:rsidR="007C454C" w:rsidRPr="003B74C8" w:rsidRDefault="007C454C" w:rsidP="008E7D61">
            <w:pPr>
              <w:spacing w:before="60" w:after="40"/>
              <w:rPr>
                <w:rFonts w:cstheme="majorHAnsi"/>
                <w:bCs/>
                <w:sz w:val="20"/>
                <w:szCs w:val="20"/>
              </w:rPr>
            </w:pPr>
            <w:r w:rsidRPr="003B74C8">
              <w:rPr>
                <w:rFonts w:cstheme="majorHAnsi"/>
                <w:bCs/>
                <w:sz w:val="20"/>
                <w:szCs w:val="20"/>
              </w:rPr>
              <w:t>Construction Costs</w:t>
            </w:r>
          </w:p>
        </w:tc>
        <w:tc>
          <w:tcPr>
            <w:tcW w:w="1890" w:type="dxa"/>
            <w:shd w:val="clear" w:color="auto" w:fill="auto"/>
          </w:tcPr>
          <w:p w14:paraId="14F665DE"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9,254,798</w:t>
            </w:r>
          </w:p>
        </w:tc>
        <w:tc>
          <w:tcPr>
            <w:tcW w:w="1890" w:type="dxa"/>
            <w:shd w:val="clear" w:color="auto" w:fill="auto"/>
          </w:tcPr>
          <w:p w14:paraId="4BAEAAEC"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7,140,223</w:t>
            </w:r>
          </w:p>
        </w:tc>
        <w:tc>
          <w:tcPr>
            <w:tcW w:w="1890" w:type="dxa"/>
          </w:tcPr>
          <w:p w14:paraId="06DFFF32"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16,395,021</w:t>
            </w:r>
          </w:p>
        </w:tc>
      </w:tr>
      <w:tr w:rsidR="007C454C" w:rsidRPr="007C454C" w14:paraId="1D33A415" w14:textId="77777777" w:rsidTr="007C454C">
        <w:tc>
          <w:tcPr>
            <w:tcW w:w="3543" w:type="dxa"/>
            <w:shd w:val="clear" w:color="auto" w:fill="auto"/>
          </w:tcPr>
          <w:p w14:paraId="793F0E17" w14:textId="77777777" w:rsidR="007C454C" w:rsidRPr="003B74C8" w:rsidRDefault="007C454C" w:rsidP="008E7D61">
            <w:pPr>
              <w:spacing w:before="60" w:after="40"/>
              <w:rPr>
                <w:rFonts w:cstheme="majorHAnsi"/>
                <w:bCs/>
                <w:sz w:val="20"/>
                <w:szCs w:val="20"/>
              </w:rPr>
            </w:pPr>
            <w:r w:rsidRPr="003B74C8">
              <w:rPr>
                <w:rFonts w:cstheme="majorHAnsi"/>
                <w:bCs/>
                <w:sz w:val="20"/>
                <w:szCs w:val="20"/>
              </w:rPr>
              <w:t>MSCP Costs</w:t>
            </w:r>
          </w:p>
        </w:tc>
        <w:tc>
          <w:tcPr>
            <w:tcW w:w="1890" w:type="dxa"/>
            <w:shd w:val="clear" w:color="auto" w:fill="auto"/>
          </w:tcPr>
          <w:p w14:paraId="030C72AF"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1,200,000</w:t>
            </w:r>
          </w:p>
        </w:tc>
        <w:tc>
          <w:tcPr>
            <w:tcW w:w="1890" w:type="dxa"/>
            <w:shd w:val="clear" w:color="auto" w:fill="auto"/>
          </w:tcPr>
          <w:p w14:paraId="0F984D76"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900,000</w:t>
            </w:r>
          </w:p>
        </w:tc>
        <w:tc>
          <w:tcPr>
            <w:tcW w:w="1890" w:type="dxa"/>
          </w:tcPr>
          <w:p w14:paraId="60E06FF3"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2,100,000</w:t>
            </w:r>
          </w:p>
        </w:tc>
      </w:tr>
      <w:tr w:rsidR="007C454C" w:rsidRPr="007C454C" w14:paraId="0A981A99" w14:textId="77777777" w:rsidTr="007C454C">
        <w:tc>
          <w:tcPr>
            <w:tcW w:w="3543" w:type="dxa"/>
            <w:shd w:val="clear" w:color="auto" w:fill="auto"/>
          </w:tcPr>
          <w:p w14:paraId="612A7532" w14:textId="77777777" w:rsidR="007C454C" w:rsidRPr="003B74C8" w:rsidRDefault="007C454C" w:rsidP="008E7D61">
            <w:pPr>
              <w:spacing w:before="60" w:after="40"/>
              <w:rPr>
                <w:rFonts w:cstheme="majorHAnsi"/>
                <w:bCs/>
                <w:sz w:val="20"/>
                <w:szCs w:val="20"/>
              </w:rPr>
            </w:pPr>
            <w:r w:rsidRPr="003B74C8">
              <w:rPr>
                <w:rFonts w:cstheme="majorHAnsi"/>
                <w:bCs/>
                <w:sz w:val="20"/>
                <w:szCs w:val="20"/>
              </w:rPr>
              <w:t>Developer’s Profit</w:t>
            </w:r>
          </w:p>
        </w:tc>
        <w:tc>
          <w:tcPr>
            <w:tcW w:w="1890" w:type="dxa"/>
            <w:shd w:val="clear" w:color="auto" w:fill="auto"/>
          </w:tcPr>
          <w:p w14:paraId="34DEE884"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1,529,698</w:t>
            </w:r>
          </w:p>
        </w:tc>
        <w:tc>
          <w:tcPr>
            <w:tcW w:w="1890" w:type="dxa"/>
            <w:shd w:val="clear" w:color="auto" w:fill="auto"/>
          </w:tcPr>
          <w:p w14:paraId="668AD243"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1,012,387</w:t>
            </w:r>
          </w:p>
        </w:tc>
        <w:tc>
          <w:tcPr>
            <w:tcW w:w="1890" w:type="dxa"/>
          </w:tcPr>
          <w:p w14:paraId="76B14B06" w14:textId="77777777" w:rsidR="007C454C" w:rsidRPr="003B74C8" w:rsidRDefault="007C454C" w:rsidP="008E7D61">
            <w:pPr>
              <w:spacing w:before="60" w:after="40"/>
              <w:jc w:val="right"/>
              <w:rPr>
                <w:rFonts w:cstheme="majorHAnsi"/>
                <w:bCs/>
                <w:sz w:val="20"/>
                <w:szCs w:val="20"/>
              </w:rPr>
            </w:pPr>
            <w:r w:rsidRPr="003B74C8">
              <w:rPr>
                <w:rFonts w:cstheme="majorHAnsi"/>
                <w:bCs/>
                <w:sz w:val="20"/>
                <w:szCs w:val="20"/>
              </w:rPr>
              <w:t>2,542,085</w:t>
            </w:r>
          </w:p>
        </w:tc>
      </w:tr>
      <w:tr w:rsidR="007C454C" w:rsidRPr="007C454C" w14:paraId="7F61BD92" w14:textId="77777777" w:rsidTr="007C454C">
        <w:tc>
          <w:tcPr>
            <w:tcW w:w="3543" w:type="dxa"/>
            <w:shd w:val="clear" w:color="auto" w:fill="auto"/>
          </w:tcPr>
          <w:p w14:paraId="084104FA" w14:textId="77777777" w:rsidR="007C454C" w:rsidRPr="007C454C" w:rsidRDefault="007C454C" w:rsidP="008E7D61">
            <w:pPr>
              <w:spacing w:before="60" w:after="40"/>
              <w:rPr>
                <w:rFonts w:asciiTheme="minorHAnsi" w:hAnsiTheme="minorHAnsi" w:cstheme="minorHAnsi"/>
                <w:b/>
                <w:sz w:val="20"/>
                <w:szCs w:val="20"/>
              </w:rPr>
            </w:pPr>
            <w:r w:rsidRPr="007C454C">
              <w:rPr>
                <w:rFonts w:asciiTheme="minorHAnsi" w:hAnsiTheme="minorHAnsi" w:cstheme="minorHAnsi"/>
                <w:b/>
                <w:sz w:val="20"/>
                <w:szCs w:val="20"/>
              </w:rPr>
              <w:t>Total Costs</w:t>
            </w:r>
          </w:p>
        </w:tc>
        <w:tc>
          <w:tcPr>
            <w:tcW w:w="1890" w:type="dxa"/>
            <w:shd w:val="clear" w:color="auto" w:fill="auto"/>
          </w:tcPr>
          <w:p w14:paraId="4168906F"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11,984,496</w:t>
            </w:r>
          </w:p>
        </w:tc>
        <w:tc>
          <w:tcPr>
            <w:tcW w:w="1890" w:type="dxa"/>
            <w:shd w:val="clear" w:color="auto" w:fill="auto"/>
          </w:tcPr>
          <w:p w14:paraId="6379D334"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9,052,610</w:t>
            </w:r>
          </w:p>
        </w:tc>
        <w:tc>
          <w:tcPr>
            <w:tcW w:w="1890" w:type="dxa"/>
          </w:tcPr>
          <w:p w14:paraId="53A86CC6"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21,037,106</w:t>
            </w:r>
          </w:p>
        </w:tc>
      </w:tr>
      <w:tr w:rsidR="007C454C" w:rsidRPr="007C454C" w14:paraId="7E49021A" w14:textId="77777777" w:rsidTr="008E7D61">
        <w:tc>
          <w:tcPr>
            <w:tcW w:w="9213" w:type="dxa"/>
            <w:gridSpan w:val="4"/>
            <w:shd w:val="clear" w:color="auto" w:fill="E7E6E6" w:themeFill="background2"/>
          </w:tcPr>
          <w:p w14:paraId="70977AA5" w14:textId="405FCBE3" w:rsidR="007C454C" w:rsidRPr="007C454C" w:rsidRDefault="007C454C" w:rsidP="007C454C">
            <w:pPr>
              <w:spacing w:before="60" w:after="40"/>
              <w:rPr>
                <w:rFonts w:asciiTheme="minorHAnsi" w:hAnsiTheme="minorHAnsi" w:cstheme="minorHAnsi"/>
                <w:bCs/>
                <w:sz w:val="20"/>
                <w:szCs w:val="20"/>
              </w:rPr>
            </w:pPr>
            <w:r w:rsidRPr="007C454C">
              <w:rPr>
                <w:rFonts w:asciiTheme="minorHAnsi" w:hAnsiTheme="minorHAnsi" w:cstheme="minorHAnsi"/>
                <w:b/>
                <w:sz w:val="20"/>
                <w:szCs w:val="20"/>
              </w:rPr>
              <w:t>Revenue</w:t>
            </w:r>
          </w:p>
        </w:tc>
      </w:tr>
      <w:tr w:rsidR="007C454C" w:rsidRPr="007C454C" w14:paraId="3673815E" w14:textId="77777777" w:rsidTr="007C454C">
        <w:tc>
          <w:tcPr>
            <w:tcW w:w="3543" w:type="dxa"/>
            <w:shd w:val="clear" w:color="auto" w:fill="auto"/>
          </w:tcPr>
          <w:p w14:paraId="51E28A84" w14:textId="77777777" w:rsidR="007C454C" w:rsidRPr="007C454C" w:rsidRDefault="007C454C" w:rsidP="008E7D61">
            <w:pPr>
              <w:spacing w:before="60" w:after="40"/>
              <w:rPr>
                <w:rFonts w:asciiTheme="minorHAnsi" w:hAnsiTheme="minorHAnsi" w:cstheme="minorHAnsi"/>
                <w:b/>
                <w:sz w:val="20"/>
                <w:szCs w:val="20"/>
              </w:rPr>
            </w:pPr>
            <w:r w:rsidRPr="007C454C">
              <w:rPr>
                <w:rFonts w:asciiTheme="minorHAnsi" w:hAnsiTheme="minorHAnsi" w:cstheme="minorHAnsi"/>
                <w:b/>
                <w:sz w:val="20"/>
                <w:szCs w:val="20"/>
              </w:rPr>
              <w:t>Net Development Value</w:t>
            </w:r>
          </w:p>
        </w:tc>
        <w:tc>
          <w:tcPr>
            <w:tcW w:w="1890" w:type="dxa"/>
            <w:shd w:val="clear" w:color="auto" w:fill="auto"/>
          </w:tcPr>
          <w:p w14:paraId="7AE8D985" w14:textId="77777777" w:rsidR="007C454C" w:rsidRPr="003B74C8" w:rsidRDefault="007C454C" w:rsidP="008E7D61">
            <w:pPr>
              <w:spacing w:before="60" w:after="40"/>
              <w:jc w:val="right"/>
              <w:rPr>
                <w:rFonts w:cstheme="majorHAnsi"/>
                <w:b/>
                <w:sz w:val="20"/>
                <w:szCs w:val="20"/>
              </w:rPr>
            </w:pPr>
            <w:r w:rsidRPr="003B74C8">
              <w:rPr>
                <w:rFonts w:cstheme="majorHAnsi"/>
                <w:bCs/>
                <w:sz w:val="20"/>
                <w:szCs w:val="20"/>
              </w:rPr>
              <w:t>10,197,990</w:t>
            </w:r>
          </w:p>
        </w:tc>
        <w:tc>
          <w:tcPr>
            <w:tcW w:w="1890" w:type="dxa"/>
            <w:shd w:val="clear" w:color="auto" w:fill="auto"/>
          </w:tcPr>
          <w:p w14:paraId="51EDAEEA" w14:textId="77777777" w:rsidR="007C454C" w:rsidRPr="003B74C8" w:rsidRDefault="007C454C" w:rsidP="008E7D61">
            <w:pPr>
              <w:spacing w:before="60" w:after="40"/>
              <w:jc w:val="right"/>
              <w:rPr>
                <w:rFonts w:cstheme="majorHAnsi"/>
                <w:b/>
                <w:sz w:val="20"/>
                <w:szCs w:val="20"/>
              </w:rPr>
            </w:pPr>
            <w:r w:rsidRPr="003B74C8">
              <w:rPr>
                <w:rFonts w:cstheme="majorHAnsi"/>
                <w:bCs/>
                <w:sz w:val="20"/>
                <w:szCs w:val="20"/>
              </w:rPr>
              <w:t>6,749,249</w:t>
            </w:r>
          </w:p>
        </w:tc>
        <w:tc>
          <w:tcPr>
            <w:tcW w:w="1890" w:type="dxa"/>
          </w:tcPr>
          <w:p w14:paraId="265C1A8E" w14:textId="77777777" w:rsidR="007C454C" w:rsidRPr="003B74C8" w:rsidRDefault="007C454C" w:rsidP="008E7D61">
            <w:pPr>
              <w:spacing w:before="60" w:after="40"/>
              <w:jc w:val="right"/>
              <w:rPr>
                <w:rFonts w:cstheme="majorHAnsi"/>
                <w:b/>
                <w:sz w:val="20"/>
                <w:szCs w:val="20"/>
              </w:rPr>
            </w:pPr>
            <w:r w:rsidRPr="003B74C8">
              <w:rPr>
                <w:rFonts w:cstheme="majorHAnsi"/>
                <w:bCs/>
                <w:sz w:val="20"/>
                <w:szCs w:val="20"/>
              </w:rPr>
              <w:t>16,947,239</w:t>
            </w:r>
          </w:p>
        </w:tc>
      </w:tr>
      <w:tr w:rsidR="007C454C" w:rsidRPr="007C454C" w14:paraId="5F708076" w14:textId="77777777" w:rsidTr="008E7D61">
        <w:tc>
          <w:tcPr>
            <w:tcW w:w="9213" w:type="dxa"/>
            <w:gridSpan w:val="4"/>
            <w:shd w:val="clear" w:color="auto" w:fill="D9D9D9" w:themeFill="background1" w:themeFillShade="D9"/>
          </w:tcPr>
          <w:p w14:paraId="33B5C5C2" w14:textId="665D00B6" w:rsidR="007C454C" w:rsidRPr="007C454C" w:rsidRDefault="007C454C" w:rsidP="007C454C">
            <w:pPr>
              <w:spacing w:before="60" w:after="40"/>
              <w:rPr>
                <w:rFonts w:asciiTheme="minorHAnsi" w:hAnsiTheme="minorHAnsi" w:cstheme="minorHAnsi"/>
                <w:b/>
                <w:sz w:val="20"/>
                <w:szCs w:val="20"/>
              </w:rPr>
            </w:pPr>
            <w:r w:rsidRPr="007C454C">
              <w:rPr>
                <w:rFonts w:asciiTheme="minorHAnsi" w:hAnsiTheme="minorHAnsi" w:cstheme="minorHAnsi"/>
                <w:b/>
                <w:sz w:val="20"/>
                <w:szCs w:val="20"/>
              </w:rPr>
              <w:t>Surplus/Gap</w:t>
            </w:r>
          </w:p>
        </w:tc>
      </w:tr>
      <w:tr w:rsidR="007C454C" w:rsidRPr="007C454C" w14:paraId="61A5B8D3" w14:textId="77777777" w:rsidTr="007C454C">
        <w:tc>
          <w:tcPr>
            <w:tcW w:w="3543" w:type="dxa"/>
            <w:shd w:val="clear" w:color="auto" w:fill="auto"/>
          </w:tcPr>
          <w:p w14:paraId="79FD18AA" w14:textId="77777777" w:rsidR="007C454C" w:rsidRPr="007C454C" w:rsidRDefault="007C454C" w:rsidP="008E7D61">
            <w:pPr>
              <w:spacing w:before="60" w:after="40"/>
              <w:rPr>
                <w:rFonts w:asciiTheme="minorHAnsi" w:hAnsiTheme="minorHAnsi" w:cstheme="minorHAnsi"/>
                <w:b/>
                <w:sz w:val="20"/>
                <w:szCs w:val="20"/>
              </w:rPr>
            </w:pPr>
            <w:r w:rsidRPr="007C454C">
              <w:rPr>
                <w:rFonts w:asciiTheme="minorHAnsi" w:hAnsiTheme="minorHAnsi" w:cstheme="minorHAnsi"/>
                <w:b/>
                <w:sz w:val="20"/>
                <w:szCs w:val="20"/>
              </w:rPr>
              <w:t>Gap</w:t>
            </w:r>
          </w:p>
        </w:tc>
        <w:tc>
          <w:tcPr>
            <w:tcW w:w="1890" w:type="dxa"/>
            <w:shd w:val="clear" w:color="auto" w:fill="auto"/>
          </w:tcPr>
          <w:p w14:paraId="7DA81DE0"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-1,786,507</w:t>
            </w:r>
          </w:p>
        </w:tc>
        <w:tc>
          <w:tcPr>
            <w:tcW w:w="1890" w:type="dxa"/>
          </w:tcPr>
          <w:p w14:paraId="358F1EC6"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-2,303,362</w:t>
            </w:r>
          </w:p>
        </w:tc>
        <w:tc>
          <w:tcPr>
            <w:tcW w:w="1890" w:type="dxa"/>
          </w:tcPr>
          <w:p w14:paraId="4E9C6A45" w14:textId="77777777" w:rsidR="007C454C" w:rsidRPr="007C454C" w:rsidRDefault="007C454C" w:rsidP="008E7D61">
            <w:pPr>
              <w:spacing w:before="60" w:after="40"/>
              <w:jc w:val="right"/>
              <w:rPr>
                <w:rFonts w:asciiTheme="minorHAnsi" w:hAnsiTheme="minorHAnsi" w:cstheme="minorHAnsi"/>
                <w:b/>
                <w:sz w:val="20"/>
                <w:szCs w:val="20"/>
              </w:rPr>
            </w:pPr>
            <w:r w:rsidRPr="007C454C">
              <w:rPr>
                <w:rFonts w:asciiTheme="minorHAnsi" w:hAnsiTheme="minorHAnsi" w:cstheme="minorHAnsi"/>
                <w:b/>
                <w:sz w:val="20"/>
                <w:szCs w:val="20"/>
              </w:rPr>
              <w:t>-4,089,869</w:t>
            </w:r>
          </w:p>
        </w:tc>
      </w:tr>
      <w:bookmarkEnd w:id="4"/>
    </w:tbl>
    <w:p w14:paraId="7235F486" w14:textId="699F1488" w:rsidR="008122E7" w:rsidRDefault="008122E7" w:rsidP="008122E7">
      <w:pPr>
        <w:spacing w:line="257" w:lineRule="auto"/>
        <w:ind w:left="426"/>
        <w:contextualSpacing/>
        <w:jc w:val="both"/>
        <w:rPr>
          <w:rFonts w:asciiTheme="minorHAnsi" w:eastAsia="Calibri" w:hAnsiTheme="minorHAnsi" w:cs="Times New Roman"/>
          <w:b/>
        </w:rPr>
      </w:pPr>
    </w:p>
    <w:p w14:paraId="046739D8" w14:textId="3FD21479" w:rsidR="007C454C" w:rsidRPr="007C454C" w:rsidRDefault="007C454C" w:rsidP="007C454C">
      <w:pPr>
        <w:spacing w:before="160"/>
        <w:ind w:left="426"/>
        <w:jc w:val="both"/>
        <w:rPr>
          <w:rFonts w:cstheme="majorHAnsi"/>
        </w:rPr>
      </w:pPr>
      <w:r w:rsidRPr="007C454C">
        <w:rPr>
          <w:rFonts w:cstheme="majorHAnsi"/>
        </w:rPr>
        <w:t>The financial summary of the projects set out above shows a viability gap across the two projects of £4m. The initial financial appraisal of the schemes showed a ‘gap’ £5.97m, but this was reduced through negotiation with the applicant in order to meet the LEP’s maximum 10</w:t>
      </w:r>
      <w:r w:rsidR="003B74C8">
        <w:rPr>
          <w:rFonts w:cstheme="majorHAnsi"/>
        </w:rPr>
        <w:t>-</w:t>
      </w:r>
      <w:r w:rsidRPr="007C454C">
        <w:rPr>
          <w:rFonts w:cstheme="majorHAnsi"/>
        </w:rPr>
        <w:t>year payback period for EZ investments. The ‘gap’ is based on APL’s requirement to meet its minimum internal rate of return of 15% (although this is now reduced due to the negotiation with the LEP).  Cushman &amp; Wakefield are satisfied with the cost and value assumptions provided by APL, although they note that further design work is required, which may push costs up. The LEP will cap its investment at £4m with any cost overruns being carried by APL.</w:t>
      </w:r>
    </w:p>
    <w:p w14:paraId="0722BABC" w14:textId="77777777" w:rsidR="007C454C" w:rsidRPr="007C454C" w:rsidRDefault="007C454C" w:rsidP="007C454C">
      <w:pPr>
        <w:spacing w:before="160"/>
        <w:ind w:left="426"/>
        <w:jc w:val="both"/>
        <w:rPr>
          <w:rFonts w:cstheme="majorHAnsi"/>
        </w:rPr>
      </w:pPr>
      <w:r w:rsidRPr="007C454C">
        <w:rPr>
          <w:rFonts w:cstheme="majorHAnsi"/>
        </w:rPr>
        <w:t xml:space="preserve">The table below shows the estimated retained business rates from the two projects and the MSCP by Bruntwood and Cushman &amp; Wakefield, which vary significantly. This was due to an overestimation on the uplifted rateable for Blocks 22-24, the inclusion of ineligible schemes such as Royal London, but also a significant variation in the estimation of retained business rates from the MSCP, with comparable MSCPs ranging from £135 per space to £600 per space. In addition, Cushman &amp; Wakefield argued that only the car parking spaces directly attributed to Blocks 22-24 should be included in the estimation of retained business rates. Following negotiations between the LEP and Bruntwood and discussions with Cushman &amp; Wakefield a revised estimation of retained business rates was agreed, which is shown in the final column. </w:t>
      </w:r>
    </w:p>
    <w:tbl>
      <w:tblPr>
        <w:tblStyle w:val="TableGrid"/>
        <w:tblW w:w="9355" w:type="dxa"/>
        <w:tblInd w:w="421" w:type="dxa"/>
        <w:tblLook w:val="04A0" w:firstRow="1" w:lastRow="0" w:firstColumn="1" w:lastColumn="0" w:noHBand="0" w:noVBand="1"/>
      </w:tblPr>
      <w:tblGrid>
        <w:gridCol w:w="2338"/>
        <w:gridCol w:w="2339"/>
        <w:gridCol w:w="2339"/>
        <w:gridCol w:w="2339"/>
      </w:tblGrid>
      <w:tr w:rsidR="007C454C" w:rsidRPr="007C454C" w14:paraId="392FCA23" w14:textId="77777777" w:rsidTr="008E7D61">
        <w:tc>
          <w:tcPr>
            <w:tcW w:w="2338" w:type="dxa"/>
            <w:shd w:val="clear" w:color="auto" w:fill="000000" w:themeFill="text1"/>
          </w:tcPr>
          <w:p w14:paraId="321F1410" w14:textId="77777777" w:rsidR="007C454C" w:rsidRPr="007C454C" w:rsidRDefault="007C454C" w:rsidP="008E7D61">
            <w:pPr>
              <w:rPr>
                <w:rFonts w:asciiTheme="minorHAnsi" w:hAnsiTheme="minorHAnsi" w:cstheme="minorHAnsi"/>
                <w:b/>
                <w:bCs/>
                <w:sz w:val="20"/>
                <w:szCs w:val="20"/>
              </w:rPr>
            </w:pPr>
            <w:r w:rsidRPr="007C454C">
              <w:rPr>
                <w:rFonts w:asciiTheme="minorHAnsi" w:hAnsiTheme="minorHAnsi" w:cstheme="minorHAnsi"/>
                <w:b/>
                <w:bCs/>
                <w:sz w:val="20"/>
                <w:szCs w:val="20"/>
              </w:rPr>
              <w:t xml:space="preserve">Project </w:t>
            </w:r>
          </w:p>
        </w:tc>
        <w:tc>
          <w:tcPr>
            <w:tcW w:w="2339" w:type="dxa"/>
            <w:shd w:val="clear" w:color="auto" w:fill="000000" w:themeFill="text1"/>
          </w:tcPr>
          <w:p w14:paraId="6D51738A" w14:textId="77777777" w:rsidR="007C454C" w:rsidRPr="007C454C" w:rsidRDefault="007C454C" w:rsidP="008E7D61">
            <w:pPr>
              <w:jc w:val="center"/>
              <w:rPr>
                <w:rFonts w:asciiTheme="minorHAnsi" w:hAnsiTheme="minorHAnsi" w:cstheme="minorHAnsi"/>
                <w:b/>
                <w:bCs/>
                <w:sz w:val="20"/>
                <w:szCs w:val="20"/>
              </w:rPr>
            </w:pPr>
            <w:r w:rsidRPr="007C454C">
              <w:rPr>
                <w:rFonts w:asciiTheme="minorHAnsi" w:hAnsiTheme="minorHAnsi" w:cstheme="minorHAnsi"/>
                <w:b/>
                <w:bCs/>
                <w:sz w:val="20"/>
                <w:szCs w:val="20"/>
              </w:rPr>
              <w:t>Bruntwood Estimate of Annual Retained Business Rates (£)</w:t>
            </w:r>
          </w:p>
        </w:tc>
        <w:tc>
          <w:tcPr>
            <w:tcW w:w="2339" w:type="dxa"/>
            <w:shd w:val="clear" w:color="auto" w:fill="000000" w:themeFill="text1"/>
          </w:tcPr>
          <w:p w14:paraId="68CA6B25" w14:textId="77777777" w:rsidR="007C454C" w:rsidRPr="007C454C" w:rsidRDefault="007C454C" w:rsidP="008E7D61">
            <w:pPr>
              <w:jc w:val="center"/>
              <w:rPr>
                <w:rFonts w:asciiTheme="minorHAnsi" w:hAnsiTheme="minorHAnsi" w:cstheme="minorHAnsi"/>
                <w:b/>
                <w:bCs/>
                <w:sz w:val="20"/>
                <w:szCs w:val="20"/>
              </w:rPr>
            </w:pPr>
            <w:r w:rsidRPr="007C454C">
              <w:rPr>
                <w:rFonts w:asciiTheme="minorHAnsi" w:hAnsiTheme="minorHAnsi" w:cstheme="minorHAnsi"/>
                <w:b/>
                <w:bCs/>
                <w:sz w:val="20"/>
                <w:szCs w:val="20"/>
              </w:rPr>
              <w:t>Cushman &amp; Wakefield Annual Estimate of Retained Business Rates (£)</w:t>
            </w:r>
          </w:p>
        </w:tc>
        <w:tc>
          <w:tcPr>
            <w:tcW w:w="2339" w:type="dxa"/>
            <w:shd w:val="clear" w:color="auto" w:fill="000000" w:themeFill="text1"/>
          </w:tcPr>
          <w:p w14:paraId="387D4794" w14:textId="77777777" w:rsidR="007C454C" w:rsidRPr="007C454C" w:rsidRDefault="007C454C" w:rsidP="008E7D61">
            <w:pPr>
              <w:jc w:val="center"/>
              <w:rPr>
                <w:rFonts w:asciiTheme="minorHAnsi" w:hAnsiTheme="minorHAnsi" w:cstheme="minorHAnsi"/>
                <w:b/>
                <w:bCs/>
                <w:sz w:val="20"/>
                <w:szCs w:val="20"/>
              </w:rPr>
            </w:pPr>
            <w:r w:rsidRPr="007C454C">
              <w:rPr>
                <w:rFonts w:asciiTheme="minorHAnsi" w:hAnsiTheme="minorHAnsi" w:cstheme="minorHAnsi"/>
                <w:b/>
                <w:bCs/>
                <w:sz w:val="20"/>
                <w:szCs w:val="20"/>
              </w:rPr>
              <w:t>Agreed Estimate of Annual Retained Business Rates (£)</w:t>
            </w:r>
          </w:p>
        </w:tc>
      </w:tr>
      <w:tr w:rsidR="007C454C" w:rsidRPr="007C454C" w14:paraId="78823A12" w14:textId="77777777" w:rsidTr="008E7D61">
        <w:tc>
          <w:tcPr>
            <w:tcW w:w="2338" w:type="dxa"/>
          </w:tcPr>
          <w:p w14:paraId="796A8497" w14:textId="77777777" w:rsidR="007C454C" w:rsidRPr="007C454C" w:rsidRDefault="007C454C" w:rsidP="008E7D61">
            <w:pPr>
              <w:rPr>
                <w:rFonts w:asciiTheme="minorHAnsi" w:hAnsiTheme="minorHAnsi" w:cstheme="minorHAnsi"/>
                <w:sz w:val="20"/>
                <w:szCs w:val="20"/>
              </w:rPr>
            </w:pPr>
            <w:r w:rsidRPr="007C454C">
              <w:rPr>
                <w:rFonts w:asciiTheme="minorHAnsi" w:hAnsiTheme="minorHAnsi" w:cstheme="minorHAnsi"/>
                <w:sz w:val="20"/>
                <w:szCs w:val="20"/>
              </w:rPr>
              <w:t>Block 22</w:t>
            </w:r>
          </w:p>
        </w:tc>
        <w:tc>
          <w:tcPr>
            <w:tcW w:w="2339" w:type="dxa"/>
          </w:tcPr>
          <w:p w14:paraId="066D99EF"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270,000</w:t>
            </w:r>
          </w:p>
        </w:tc>
        <w:tc>
          <w:tcPr>
            <w:tcW w:w="2339" w:type="dxa"/>
          </w:tcPr>
          <w:p w14:paraId="35B709B7"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252,000</w:t>
            </w:r>
          </w:p>
        </w:tc>
        <w:tc>
          <w:tcPr>
            <w:tcW w:w="2339" w:type="dxa"/>
          </w:tcPr>
          <w:p w14:paraId="49FC8B8B"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252,000</w:t>
            </w:r>
          </w:p>
        </w:tc>
      </w:tr>
      <w:tr w:rsidR="007C454C" w:rsidRPr="007C454C" w14:paraId="418783CB" w14:textId="77777777" w:rsidTr="008E7D61">
        <w:tc>
          <w:tcPr>
            <w:tcW w:w="2338" w:type="dxa"/>
          </w:tcPr>
          <w:p w14:paraId="36FAB7EE" w14:textId="77777777" w:rsidR="007C454C" w:rsidRPr="007C454C" w:rsidRDefault="007C454C" w:rsidP="008E7D61">
            <w:pPr>
              <w:rPr>
                <w:rFonts w:asciiTheme="minorHAnsi" w:hAnsiTheme="minorHAnsi" w:cstheme="minorHAnsi"/>
                <w:sz w:val="20"/>
                <w:szCs w:val="20"/>
              </w:rPr>
            </w:pPr>
            <w:r w:rsidRPr="007C454C">
              <w:rPr>
                <w:rFonts w:asciiTheme="minorHAnsi" w:hAnsiTheme="minorHAnsi" w:cstheme="minorHAnsi"/>
                <w:sz w:val="20"/>
                <w:szCs w:val="20"/>
              </w:rPr>
              <w:t>Blocks 22-24</w:t>
            </w:r>
          </w:p>
        </w:tc>
        <w:tc>
          <w:tcPr>
            <w:tcW w:w="2339" w:type="dxa"/>
          </w:tcPr>
          <w:p w14:paraId="4B6EF4CF"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75,000</w:t>
            </w:r>
          </w:p>
        </w:tc>
        <w:tc>
          <w:tcPr>
            <w:tcW w:w="2339" w:type="dxa"/>
          </w:tcPr>
          <w:p w14:paraId="7AB290BF"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w:t>
            </w:r>
          </w:p>
        </w:tc>
        <w:tc>
          <w:tcPr>
            <w:tcW w:w="2339" w:type="dxa"/>
          </w:tcPr>
          <w:p w14:paraId="2F67F0A4"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w:t>
            </w:r>
          </w:p>
        </w:tc>
      </w:tr>
      <w:tr w:rsidR="007C454C" w:rsidRPr="007C454C" w14:paraId="109FE323" w14:textId="77777777" w:rsidTr="008E7D61">
        <w:tc>
          <w:tcPr>
            <w:tcW w:w="2338" w:type="dxa"/>
          </w:tcPr>
          <w:p w14:paraId="06D7CFC7" w14:textId="77777777" w:rsidR="007C454C" w:rsidRPr="007C454C" w:rsidRDefault="007C454C" w:rsidP="008E7D61">
            <w:pPr>
              <w:rPr>
                <w:rFonts w:asciiTheme="minorHAnsi" w:hAnsiTheme="minorHAnsi" w:cstheme="minorHAnsi"/>
                <w:sz w:val="20"/>
                <w:szCs w:val="20"/>
              </w:rPr>
            </w:pPr>
            <w:r w:rsidRPr="007C454C">
              <w:rPr>
                <w:rFonts w:asciiTheme="minorHAnsi" w:hAnsiTheme="minorHAnsi" w:cstheme="minorHAnsi"/>
                <w:sz w:val="20"/>
                <w:szCs w:val="20"/>
              </w:rPr>
              <w:t>MSCP</w:t>
            </w:r>
          </w:p>
        </w:tc>
        <w:tc>
          <w:tcPr>
            <w:tcW w:w="2339" w:type="dxa"/>
          </w:tcPr>
          <w:p w14:paraId="204AAE48"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750,000</w:t>
            </w:r>
          </w:p>
        </w:tc>
        <w:tc>
          <w:tcPr>
            <w:tcW w:w="2339" w:type="dxa"/>
          </w:tcPr>
          <w:p w14:paraId="6C0CC157"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19,200</w:t>
            </w:r>
          </w:p>
        </w:tc>
        <w:tc>
          <w:tcPr>
            <w:tcW w:w="2339" w:type="dxa"/>
          </w:tcPr>
          <w:p w14:paraId="406227DB"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149,549</w:t>
            </w:r>
          </w:p>
        </w:tc>
      </w:tr>
      <w:tr w:rsidR="007C454C" w:rsidRPr="007C454C" w14:paraId="5604C787" w14:textId="77777777" w:rsidTr="008E7D61">
        <w:tc>
          <w:tcPr>
            <w:tcW w:w="2338" w:type="dxa"/>
          </w:tcPr>
          <w:p w14:paraId="60D982BD" w14:textId="77777777" w:rsidR="007C454C" w:rsidRPr="007C454C" w:rsidRDefault="007C454C" w:rsidP="008E7D61">
            <w:pPr>
              <w:rPr>
                <w:rFonts w:asciiTheme="minorHAnsi" w:hAnsiTheme="minorHAnsi" w:cstheme="minorHAnsi"/>
                <w:sz w:val="20"/>
                <w:szCs w:val="20"/>
              </w:rPr>
            </w:pPr>
            <w:r w:rsidRPr="007C454C">
              <w:rPr>
                <w:rFonts w:asciiTheme="minorHAnsi" w:hAnsiTheme="minorHAnsi" w:cstheme="minorHAnsi"/>
                <w:sz w:val="20"/>
                <w:szCs w:val="20"/>
              </w:rPr>
              <w:t>Royal London</w:t>
            </w:r>
          </w:p>
        </w:tc>
        <w:tc>
          <w:tcPr>
            <w:tcW w:w="2339" w:type="dxa"/>
          </w:tcPr>
          <w:p w14:paraId="13798260"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200,000</w:t>
            </w:r>
          </w:p>
        </w:tc>
        <w:tc>
          <w:tcPr>
            <w:tcW w:w="2339" w:type="dxa"/>
          </w:tcPr>
          <w:p w14:paraId="378B5E10"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w:t>
            </w:r>
          </w:p>
        </w:tc>
        <w:tc>
          <w:tcPr>
            <w:tcW w:w="2339" w:type="dxa"/>
          </w:tcPr>
          <w:p w14:paraId="78A466B3" w14:textId="77777777" w:rsidR="007C454C" w:rsidRPr="007C454C" w:rsidRDefault="007C454C" w:rsidP="008E7D61">
            <w:pPr>
              <w:jc w:val="right"/>
              <w:rPr>
                <w:rFonts w:asciiTheme="minorHAnsi" w:hAnsiTheme="minorHAnsi" w:cstheme="minorHAnsi"/>
                <w:sz w:val="20"/>
                <w:szCs w:val="20"/>
              </w:rPr>
            </w:pPr>
            <w:r w:rsidRPr="007C454C">
              <w:rPr>
                <w:rFonts w:asciiTheme="minorHAnsi" w:hAnsiTheme="minorHAnsi" w:cstheme="minorHAnsi"/>
                <w:sz w:val="20"/>
                <w:szCs w:val="20"/>
              </w:rPr>
              <w:t>-</w:t>
            </w:r>
          </w:p>
        </w:tc>
      </w:tr>
      <w:tr w:rsidR="007C454C" w:rsidRPr="007C454C" w14:paraId="25610797" w14:textId="77777777" w:rsidTr="008E7D61">
        <w:tc>
          <w:tcPr>
            <w:tcW w:w="2338" w:type="dxa"/>
          </w:tcPr>
          <w:p w14:paraId="10677278" w14:textId="77777777" w:rsidR="007C454C" w:rsidRPr="007C454C" w:rsidRDefault="007C454C" w:rsidP="008E7D61">
            <w:pPr>
              <w:rPr>
                <w:rFonts w:asciiTheme="minorHAnsi" w:hAnsiTheme="minorHAnsi" w:cstheme="minorHAnsi"/>
                <w:b/>
                <w:bCs/>
                <w:sz w:val="20"/>
                <w:szCs w:val="20"/>
              </w:rPr>
            </w:pPr>
            <w:r w:rsidRPr="007C454C">
              <w:rPr>
                <w:rFonts w:asciiTheme="minorHAnsi" w:hAnsiTheme="minorHAnsi" w:cstheme="minorHAnsi"/>
                <w:b/>
                <w:bCs/>
                <w:sz w:val="20"/>
                <w:szCs w:val="20"/>
              </w:rPr>
              <w:t>Total</w:t>
            </w:r>
          </w:p>
        </w:tc>
        <w:tc>
          <w:tcPr>
            <w:tcW w:w="2339" w:type="dxa"/>
          </w:tcPr>
          <w:p w14:paraId="6B9F12B3" w14:textId="77777777" w:rsidR="007C454C" w:rsidRPr="007C454C" w:rsidRDefault="007C454C" w:rsidP="008E7D61">
            <w:pPr>
              <w:jc w:val="right"/>
              <w:rPr>
                <w:rFonts w:asciiTheme="minorHAnsi" w:hAnsiTheme="minorHAnsi" w:cstheme="minorHAnsi"/>
                <w:b/>
                <w:bCs/>
                <w:sz w:val="20"/>
                <w:szCs w:val="20"/>
              </w:rPr>
            </w:pPr>
            <w:r w:rsidRPr="007C454C">
              <w:rPr>
                <w:rFonts w:asciiTheme="minorHAnsi" w:hAnsiTheme="minorHAnsi" w:cstheme="minorHAnsi"/>
                <w:b/>
                <w:bCs/>
                <w:sz w:val="20"/>
                <w:szCs w:val="20"/>
              </w:rPr>
              <w:t>1,295,000</w:t>
            </w:r>
          </w:p>
        </w:tc>
        <w:tc>
          <w:tcPr>
            <w:tcW w:w="2339" w:type="dxa"/>
          </w:tcPr>
          <w:p w14:paraId="509D4434" w14:textId="77777777" w:rsidR="007C454C" w:rsidRPr="007C454C" w:rsidRDefault="007C454C" w:rsidP="008E7D61">
            <w:pPr>
              <w:jc w:val="right"/>
              <w:rPr>
                <w:rFonts w:asciiTheme="minorHAnsi" w:hAnsiTheme="minorHAnsi" w:cstheme="minorHAnsi"/>
                <w:b/>
                <w:bCs/>
                <w:sz w:val="20"/>
                <w:szCs w:val="20"/>
              </w:rPr>
            </w:pPr>
            <w:r w:rsidRPr="007C454C">
              <w:rPr>
                <w:rFonts w:asciiTheme="minorHAnsi" w:hAnsiTheme="minorHAnsi" w:cstheme="minorHAnsi"/>
                <w:b/>
                <w:bCs/>
                <w:sz w:val="20"/>
                <w:szCs w:val="20"/>
              </w:rPr>
              <w:t>271,200</w:t>
            </w:r>
          </w:p>
        </w:tc>
        <w:tc>
          <w:tcPr>
            <w:tcW w:w="2339" w:type="dxa"/>
          </w:tcPr>
          <w:p w14:paraId="3C4E5D60" w14:textId="77777777" w:rsidR="007C454C" w:rsidRPr="007C454C" w:rsidRDefault="007C454C" w:rsidP="008E7D61">
            <w:pPr>
              <w:jc w:val="right"/>
              <w:rPr>
                <w:rFonts w:asciiTheme="minorHAnsi" w:hAnsiTheme="minorHAnsi" w:cstheme="minorHAnsi"/>
                <w:b/>
                <w:bCs/>
                <w:sz w:val="20"/>
                <w:szCs w:val="20"/>
              </w:rPr>
            </w:pPr>
            <w:r w:rsidRPr="007C454C">
              <w:rPr>
                <w:rFonts w:asciiTheme="minorHAnsi" w:hAnsiTheme="minorHAnsi" w:cstheme="minorHAnsi"/>
                <w:b/>
                <w:bCs/>
                <w:sz w:val="20"/>
                <w:szCs w:val="20"/>
              </w:rPr>
              <w:t>401,549</w:t>
            </w:r>
          </w:p>
        </w:tc>
      </w:tr>
    </w:tbl>
    <w:p w14:paraId="166CEBEC" w14:textId="435A0061" w:rsidR="007C454C" w:rsidRDefault="007C454C" w:rsidP="007C454C">
      <w:pPr>
        <w:spacing w:before="160"/>
        <w:ind w:left="426"/>
        <w:jc w:val="both"/>
        <w:rPr>
          <w:rFonts w:cstheme="majorHAnsi"/>
        </w:rPr>
      </w:pPr>
      <w:r w:rsidRPr="007C454C">
        <w:rPr>
          <w:rFonts w:cstheme="majorHAnsi"/>
        </w:rPr>
        <w:t xml:space="preserve">Overall, we have taken Cushman &amp; Wakefield’s more conservative estimates of retained business rates, to err on the side of caution. However, we have agreed to include all of the retained business rates arising from the MSCP as the LEP investment will ‘enable’ the construction of the whole car park. On this basis the EZ investment of £4m would pay back in 9.9 years. </w:t>
      </w:r>
    </w:p>
    <w:p w14:paraId="3CCA6F1D" w14:textId="016A3B3F" w:rsidR="008122E7" w:rsidRDefault="008122E7" w:rsidP="00DA7BE4">
      <w:pPr>
        <w:numPr>
          <w:ilvl w:val="0"/>
          <w:numId w:val="23"/>
        </w:numPr>
        <w:spacing w:line="257" w:lineRule="auto"/>
        <w:ind w:left="426" w:hanging="426"/>
        <w:contextualSpacing/>
        <w:jc w:val="both"/>
        <w:rPr>
          <w:rFonts w:asciiTheme="minorHAnsi" w:eastAsia="Calibri" w:hAnsiTheme="minorHAnsi" w:cs="Times New Roman"/>
          <w:b/>
        </w:rPr>
      </w:pPr>
      <w:r>
        <w:rPr>
          <w:rFonts w:asciiTheme="minorHAnsi" w:eastAsia="Calibri" w:hAnsiTheme="minorHAnsi" w:cs="Times New Roman"/>
          <w:b/>
        </w:rPr>
        <w:t>Value for money</w:t>
      </w:r>
    </w:p>
    <w:p w14:paraId="4BDD171F" w14:textId="4B087DB1" w:rsidR="007C454C" w:rsidRDefault="007C454C" w:rsidP="008E7D61">
      <w:pPr>
        <w:spacing w:line="257" w:lineRule="auto"/>
        <w:ind w:left="426"/>
        <w:contextualSpacing/>
        <w:jc w:val="both"/>
        <w:rPr>
          <w:rFonts w:eastAsia="Calibri" w:cstheme="majorHAnsi"/>
          <w:bCs/>
        </w:rPr>
      </w:pPr>
      <w:r w:rsidRPr="007C454C">
        <w:rPr>
          <w:rFonts w:eastAsia="Calibri" w:cstheme="majorHAnsi"/>
          <w:bCs/>
        </w:rPr>
        <w:t xml:space="preserve">Following negotiation, the ‘ask’ from APL has been reduced to from £6m to £4 million in order to ensure an acceptable payback period to the EZ and provide good value for money to the LEP.  APL have confirmed </w:t>
      </w:r>
      <w:r w:rsidRPr="007C454C">
        <w:rPr>
          <w:rFonts w:eastAsia="Calibri" w:cstheme="majorHAnsi"/>
          <w:bCs/>
        </w:rPr>
        <w:lastRenderedPageBreak/>
        <w:t>that the remaining funding shortfall will be met from APL resources drawing on either its bank facilities or via additional shareholder equity, which will result in a lower Internal Rate of Return and demonstrates a genuine willingness to deliver the scheme on behalf of the applicant.</w:t>
      </w:r>
      <w:r w:rsidR="008E7D61">
        <w:rPr>
          <w:rFonts w:eastAsia="Calibri" w:cstheme="majorHAnsi"/>
          <w:bCs/>
        </w:rPr>
        <w:t xml:space="preserve"> </w:t>
      </w:r>
      <w:r w:rsidRPr="007C454C">
        <w:rPr>
          <w:rFonts w:eastAsia="Calibri" w:cstheme="majorHAnsi"/>
          <w:bCs/>
        </w:rPr>
        <w:t>Cushman &amp; Wakefield report that the project provides medium to good value for money in terms of cost per job created following the reduction in the ‘ask’ from £6 to £4m. The project can also demonstrate delivery of wider benefits in the form of local spend, collaboration, skill development and enhanced market profile and confidence.</w:t>
      </w:r>
    </w:p>
    <w:p w14:paraId="6F20CDCF" w14:textId="50BFCAA4" w:rsidR="008122E7" w:rsidRDefault="008122E7" w:rsidP="008122E7">
      <w:pPr>
        <w:spacing w:line="257" w:lineRule="auto"/>
        <w:ind w:left="426"/>
        <w:contextualSpacing/>
        <w:jc w:val="both"/>
        <w:rPr>
          <w:rFonts w:asciiTheme="minorHAnsi" w:eastAsia="Calibri" w:hAnsiTheme="minorHAnsi" w:cs="Times New Roman"/>
          <w:b/>
        </w:rPr>
      </w:pPr>
    </w:p>
    <w:p w14:paraId="43FB54F8" w14:textId="43FAFEAB" w:rsidR="00270AFF" w:rsidRPr="00270AFF" w:rsidRDefault="00270AFF" w:rsidP="00DA7BE4">
      <w:pPr>
        <w:numPr>
          <w:ilvl w:val="0"/>
          <w:numId w:val="23"/>
        </w:numPr>
        <w:spacing w:line="257" w:lineRule="auto"/>
        <w:ind w:left="426" w:hanging="426"/>
        <w:contextualSpacing/>
        <w:jc w:val="both"/>
        <w:rPr>
          <w:rFonts w:asciiTheme="minorHAnsi" w:eastAsia="Calibri" w:hAnsiTheme="minorHAnsi" w:cs="Times New Roman"/>
          <w:b/>
        </w:rPr>
      </w:pPr>
      <w:r w:rsidRPr="00270AFF">
        <w:rPr>
          <w:rFonts w:asciiTheme="minorHAnsi" w:eastAsia="Calibri" w:hAnsiTheme="minorHAnsi" w:cs="Times New Roman"/>
          <w:b/>
        </w:rPr>
        <w:t>Benefits</w:t>
      </w:r>
    </w:p>
    <w:p w14:paraId="1BF78CBB" w14:textId="499EE335" w:rsidR="00270AFF" w:rsidRDefault="00270AFF" w:rsidP="008E7D61">
      <w:pPr>
        <w:spacing w:after="0" w:line="257" w:lineRule="auto"/>
        <w:ind w:left="425"/>
        <w:jc w:val="both"/>
        <w:rPr>
          <w:rFonts w:ascii="Calibri Light" w:eastAsia="Calibri" w:hAnsi="Calibri Light" w:cs="Times New Roman"/>
        </w:rPr>
      </w:pPr>
      <w:r w:rsidRPr="00270AFF">
        <w:rPr>
          <w:rFonts w:ascii="Calibri Light" w:eastAsia="Calibri" w:hAnsi="Calibri Light" w:cs="Times New Roman"/>
        </w:rPr>
        <w:t>The benefits associated with the investment case are set out in the table below.</w:t>
      </w:r>
    </w:p>
    <w:tbl>
      <w:tblPr>
        <w:tblStyle w:val="TableGrid"/>
        <w:tblW w:w="9350" w:type="dxa"/>
        <w:tblInd w:w="426" w:type="dxa"/>
        <w:tblLook w:val="04A0" w:firstRow="1" w:lastRow="0" w:firstColumn="1" w:lastColumn="0" w:noHBand="0" w:noVBand="1"/>
      </w:tblPr>
      <w:tblGrid>
        <w:gridCol w:w="6090"/>
        <w:gridCol w:w="3260"/>
      </w:tblGrid>
      <w:tr w:rsidR="007C454C" w:rsidRPr="003B74C8" w14:paraId="73AC80B8" w14:textId="77777777" w:rsidTr="007C454C">
        <w:tc>
          <w:tcPr>
            <w:tcW w:w="6090" w:type="dxa"/>
            <w:shd w:val="clear" w:color="auto" w:fill="000000" w:themeFill="text1"/>
          </w:tcPr>
          <w:p w14:paraId="1C2FA615" w14:textId="77777777" w:rsidR="007C454C" w:rsidRPr="003B74C8" w:rsidRDefault="007C454C" w:rsidP="008E7D61">
            <w:pPr>
              <w:pStyle w:val="ListParagraph"/>
              <w:ind w:left="0"/>
              <w:contextualSpacing w:val="0"/>
              <w:jc w:val="both"/>
              <w:rPr>
                <w:rFonts w:asciiTheme="minorHAnsi" w:hAnsiTheme="minorHAnsi" w:cstheme="minorHAnsi"/>
                <w:b/>
                <w:bCs/>
                <w:sz w:val="20"/>
                <w:szCs w:val="20"/>
              </w:rPr>
            </w:pPr>
            <w:bookmarkStart w:id="5" w:name="_Hlk34896963"/>
            <w:r w:rsidRPr="003B74C8">
              <w:rPr>
                <w:rFonts w:asciiTheme="minorHAnsi" w:hAnsiTheme="minorHAnsi" w:cstheme="minorHAnsi"/>
                <w:b/>
                <w:bCs/>
                <w:sz w:val="20"/>
                <w:szCs w:val="20"/>
              </w:rPr>
              <w:t>Benefit</w:t>
            </w:r>
          </w:p>
        </w:tc>
        <w:tc>
          <w:tcPr>
            <w:tcW w:w="3260" w:type="dxa"/>
            <w:shd w:val="clear" w:color="auto" w:fill="000000" w:themeFill="text1"/>
          </w:tcPr>
          <w:p w14:paraId="6B032B99" w14:textId="77777777" w:rsidR="007C454C" w:rsidRPr="003B74C8" w:rsidRDefault="007C454C" w:rsidP="008E7D61">
            <w:pPr>
              <w:pStyle w:val="ListParagraph"/>
              <w:ind w:left="0"/>
              <w:contextualSpacing w:val="0"/>
              <w:jc w:val="right"/>
              <w:rPr>
                <w:rFonts w:asciiTheme="minorHAnsi" w:hAnsiTheme="minorHAnsi" w:cstheme="minorHAnsi"/>
                <w:b/>
                <w:bCs/>
                <w:sz w:val="20"/>
                <w:szCs w:val="20"/>
              </w:rPr>
            </w:pPr>
            <w:r w:rsidRPr="003B74C8">
              <w:rPr>
                <w:rFonts w:asciiTheme="minorHAnsi" w:hAnsiTheme="minorHAnsi" w:cstheme="minorHAnsi"/>
                <w:b/>
                <w:bCs/>
                <w:sz w:val="20"/>
                <w:szCs w:val="20"/>
              </w:rPr>
              <w:t>Quantum</w:t>
            </w:r>
          </w:p>
        </w:tc>
      </w:tr>
      <w:tr w:rsidR="007C454C" w:rsidRPr="003B74C8" w14:paraId="25C54689" w14:textId="77777777" w:rsidTr="007C454C">
        <w:tc>
          <w:tcPr>
            <w:tcW w:w="6090" w:type="dxa"/>
          </w:tcPr>
          <w:p w14:paraId="3BD301AA"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New commercial floorspace (sq ft)</w:t>
            </w:r>
          </w:p>
        </w:tc>
        <w:tc>
          <w:tcPr>
            <w:tcW w:w="3260" w:type="dxa"/>
          </w:tcPr>
          <w:p w14:paraId="28F3A31D"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97,000</w:t>
            </w:r>
          </w:p>
        </w:tc>
      </w:tr>
      <w:tr w:rsidR="007C454C" w:rsidRPr="003B74C8" w14:paraId="29DD9C31" w14:textId="77777777" w:rsidTr="007C454C">
        <w:tc>
          <w:tcPr>
            <w:tcW w:w="6090" w:type="dxa"/>
          </w:tcPr>
          <w:p w14:paraId="1C2FB5B0"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Brownfield land reclaimed (ha)</w:t>
            </w:r>
          </w:p>
        </w:tc>
        <w:tc>
          <w:tcPr>
            <w:tcW w:w="3260" w:type="dxa"/>
          </w:tcPr>
          <w:p w14:paraId="6D59D217"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N/A</w:t>
            </w:r>
          </w:p>
        </w:tc>
      </w:tr>
      <w:tr w:rsidR="007C454C" w:rsidRPr="003B74C8" w14:paraId="5E2DB4B0" w14:textId="77777777" w:rsidTr="007C454C">
        <w:tc>
          <w:tcPr>
            <w:tcW w:w="6090" w:type="dxa"/>
          </w:tcPr>
          <w:p w14:paraId="35BDC391"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Number of new businesses attracted to the EZ</w:t>
            </w:r>
          </w:p>
        </w:tc>
        <w:tc>
          <w:tcPr>
            <w:tcW w:w="3260" w:type="dxa"/>
          </w:tcPr>
          <w:p w14:paraId="4C045B41"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15-30</w:t>
            </w:r>
          </w:p>
        </w:tc>
      </w:tr>
      <w:tr w:rsidR="007C454C" w:rsidRPr="003B74C8" w14:paraId="6B5BA264" w14:textId="77777777" w:rsidTr="007C454C">
        <w:tc>
          <w:tcPr>
            <w:tcW w:w="6090" w:type="dxa"/>
          </w:tcPr>
          <w:p w14:paraId="1A79A93E"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Number of new permanent jobs created</w:t>
            </w:r>
          </w:p>
        </w:tc>
        <w:tc>
          <w:tcPr>
            <w:tcW w:w="3260" w:type="dxa"/>
          </w:tcPr>
          <w:p w14:paraId="485E792E"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300</w:t>
            </w:r>
          </w:p>
        </w:tc>
      </w:tr>
      <w:tr w:rsidR="007C454C" w:rsidRPr="003B74C8" w14:paraId="393406CB" w14:textId="77777777" w:rsidTr="007C454C">
        <w:tc>
          <w:tcPr>
            <w:tcW w:w="6090" w:type="dxa"/>
          </w:tcPr>
          <w:p w14:paraId="3571B783"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Number of temporary construction jobs</w:t>
            </w:r>
          </w:p>
        </w:tc>
        <w:tc>
          <w:tcPr>
            <w:tcW w:w="3260" w:type="dxa"/>
          </w:tcPr>
          <w:p w14:paraId="6699E6B1"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331</w:t>
            </w:r>
          </w:p>
        </w:tc>
      </w:tr>
      <w:tr w:rsidR="007C454C" w:rsidRPr="003B74C8" w14:paraId="3AFC1504" w14:textId="77777777" w:rsidTr="007C454C">
        <w:tc>
          <w:tcPr>
            <w:tcW w:w="6090" w:type="dxa"/>
          </w:tcPr>
          <w:p w14:paraId="1BF56234"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Gross Value Added (£)</w:t>
            </w:r>
          </w:p>
        </w:tc>
        <w:tc>
          <w:tcPr>
            <w:tcW w:w="3260" w:type="dxa"/>
          </w:tcPr>
          <w:p w14:paraId="2FC5312B"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18m</w:t>
            </w:r>
          </w:p>
        </w:tc>
      </w:tr>
      <w:tr w:rsidR="007C454C" w:rsidRPr="003B74C8" w14:paraId="09C17CA8" w14:textId="77777777" w:rsidTr="007C454C">
        <w:tc>
          <w:tcPr>
            <w:tcW w:w="6090" w:type="dxa"/>
          </w:tcPr>
          <w:p w14:paraId="73BEFE7C"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Annual retained business rates (£)</w:t>
            </w:r>
          </w:p>
        </w:tc>
        <w:tc>
          <w:tcPr>
            <w:tcW w:w="3260" w:type="dxa"/>
          </w:tcPr>
          <w:p w14:paraId="0135D88E"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401,500</w:t>
            </w:r>
          </w:p>
        </w:tc>
      </w:tr>
      <w:tr w:rsidR="007C454C" w:rsidRPr="003B74C8" w14:paraId="66EA510D" w14:textId="77777777" w:rsidTr="007C454C">
        <w:tc>
          <w:tcPr>
            <w:tcW w:w="6090" w:type="dxa"/>
          </w:tcPr>
          <w:p w14:paraId="5ED7EDEE"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Total retained business rates (£)</w:t>
            </w:r>
          </w:p>
        </w:tc>
        <w:tc>
          <w:tcPr>
            <w:tcW w:w="3260" w:type="dxa"/>
          </w:tcPr>
          <w:p w14:paraId="1CCFB1F2"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8.3m</w:t>
            </w:r>
          </w:p>
        </w:tc>
      </w:tr>
      <w:tr w:rsidR="007C454C" w:rsidRPr="003B74C8" w14:paraId="19FBA3D3" w14:textId="77777777" w:rsidTr="007C454C">
        <w:tc>
          <w:tcPr>
            <w:tcW w:w="6090" w:type="dxa"/>
          </w:tcPr>
          <w:p w14:paraId="46344C25" w14:textId="77777777" w:rsidR="007C454C" w:rsidRPr="003B74C8" w:rsidRDefault="007C454C" w:rsidP="008E7D61">
            <w:pPr>
              <w:pStyle w:val="ListParagraph"/>
              <w:ind w:left="0"/>
              <w:contextualSpacing w:val="0"/>
              <w:jc w:val="both"/>
              <w:rPr>
                <w:rFonts w:cstheme="majorHAnsi"/>
                <w:sz w:val="20"/>
                <w:szCs w:val="20"/>
              </w:rPr>
            </w:pPr>
            <w:r w:rsidRPr="003B74C8">
              <w:rPr>
                <w:rFonts w:cstheme="majorHAnsi"/>
                <w:sz w:val="20"/>
                <w:szCs w:val="20"/>
              </w:rPr>
              <w:t>Private sector leverage (£)</w:t>
            </w:r>
          </w:p>
        </w:tc>
        <w:tc>
          <w:tcPr>
            <w:tcW w:w="3260" w:type="dxa"/>
          </w:tcPr>
          <w:p w14:paraId="5F59FAE9" w14:textId="77777777" w:rsidR="007C454C" w:rsidRPr="003B74C8" w:rsidRDefault="007C454C" w:rsidP="008E7D61">
            <w:pPr>
              <w:pStyle w:val="ListParagraph"/>
              <w:ind w:left="0"/>
              <w:contextualSpacing w:val="0"/>
              <w:jc w:val="right"/>
              <w:rPr>
                <w:rFonts w:cstheme="majorHAnsi"/>
                <w:sz w:val="20"/>
                <w:szCs w:val="20"/>
              </w:rPr>
            </w:pPr>
            <w:r w:rsidRPr="003B74C8">
              <w:rPr>
                <w:rFonts w:cstheme="majorHAnsi"/>
                <w:sz w:val="20"/>
                <w:szCs w:val="20"/>
              </w:rPr>
              <w:t>15.8m</w:t>
            </w:r>
          </w:p>
        </w:tc>
      </w:tr>
      <w:bookmarkEnd w:id="5"/>
    </w:tbl>
    <w:p w14:paraId="6F7F4EAE" w14:textId="01FA4EAB" w:rsidR="007C454C" w:rsidRDefault="007C454C" w:rsidP="00270AFF">
      <w:pPr>
        <w:spacing w:line="257" w:lineRule="auto"/>
        <w:ind w:left="426"/>
        <w:jc w:val="both"/>
        <w:rPr>
          <w:rFonts w:ascii="Calibri Light" w:eastAsia="Calibri" w:hAnsi="Calibri Light" w:cs="Times New Roman"/>
        </w:rPr>
      </w:pPr>
    </w:p>
    <w:p w14:paraId="6247432C" w14:textId="45DF5C92" w:rsidR="00270AFF" w:rsidRPr="00270AFF" w:rsidRDefault="00270AFF" w:rsidP="00DA7BE4">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sidRPr="00270AFF">
        <w:rPr>
          <w:rFonts w:asciiTheme="minorHAnsi" w:eastAsiaTheme="majorEastAsia" w:hAnsiTheme="minorHAnsi" w:cstheme="majorBidi"/>
          <w:b/>
          <w:szCs w:val="24"/>
        </w:rPr>
        <w:t>Risk</w:t>
      </w:r>
      <w:r w:rsidR="000448D1">
        <w:rPr>
          <w:rFonts w:asciiTheme="minorHAnsi" w:eastAsiaTheme="majorEastAsia" w:hAnsiTheme="minorHAnsi" w:cstheme="majorBidi"/>
          <w:b/>
          <w:szCs w:val="24"/>
        </w:rPr>
        <w:t xml:space="preserve"> analysis</w:t>
      </w:r>
    </w:p>
    <w:p w14:paraId="62E8CA8C" w14:textId="3E7ACF07" w:rsidR="00270AFF" w:rsidRDefault="00270AFF" w:rsidP="00270AFF">
      <w:pPr>
        <w:spacing w:line="257" w:lineRule="auto"/>
        <w:ind w:firstLine="426"/>
        <w:jc w:val="both"/>
        <w:rPr>
          <w:rFonts w:ascii="Calibri Light" w:eastAsia="Calibri" w:hAnsi="Calibri Light" w:cs="Times New Roman"/>
        </w:rPr>
      </w:pPr>
      <w:r w:rsidRPr="00270AFF">
        <w:rPr>
          <w:rFonts w:ascii="Calibri Light" w:eastAsia="Calibri" w:hAnsi="Calibri Light" w:cs="Times New Roman"/>
        </w:rPr>
        <w:t>The following key risks are associated with this proposal:</w:t>
      </w:r>
    </w:p>
    <w:tbl>
      <w:tblPr>
        <w:tblStyle w:val="TableGrid"/>
        <w:tblW w:w="9350" w:type="dxa"/>
        <w:tblInd w:w="426" w:type="dxa"/>
        <w:tblLook w:val="04A0" w:firstRow="1" w:lastRow="0" w:firstColumn="1" w:lastColumn="0" w:noHBand="0" w:noVBand="1"/>
      </w:tblPr>
      <w:tblGrid>
        <w:gridCol w:w="548"/>
        <w:gridCol w:w="1568"/>
        <w:gridCol w:w="2545"/>
        <w:gridCol w:w="1161"/>
        <w:gridCol w:w="3528"/>
      </w:tblGrid>
      <w:tr w:rsidR="007C454C" w:rsidRPr="00856580" w14:paraId="0D78AB4C" w14:textId="77777777" w:rsidTr="003B74C8">
        <w:tc>
          <w:tcPr>
            <w:tcW w:w="2121" w:type="dxa"/>
            <w:gridSpan w:val="2"/>
            <w:shd w:val="clear" w:color="auto" w:fill="000000" w:themeFill="text1"/>
          </w:tcPr>
          <w:p w14:paraId="12A2C5FC" w14:textId="77777777" w:rsidR="007C454C" w:rsidRPr="00856580" w:rsidRDefault="007C454C" w:rsidP="008E7D61">
            <w:pPr>
              <w:pStyle w:val="ListParagraph"/>
              <w:ind w:left="0"/>
              <w:rPr>
                <w:rFonts w:asciiTheme="minorHAnsi" w:hAnsiTheme="minorHAnsi" w:cstheme="minorHAnsi"/>
                <w:b/>
                <w:bCs/>
              </w:rPr>
            </w:pPr>
            <w:r w:rsidRPr="00856580">
              <w:rPr>
                <w:rFonts w:asciiTheme="minorHAnsi" w:hAnsiTheme="minorHAnsi" w:cstheme="minorHAnsi"/>
                <w:b/>
                <w:bCs/>
              </w:rPr>
              <w:t>Risk</w:t>
            </w:r>
          </w:p>
        </w:tc>
        <w:tc>
          <w:tcPr>
            <w:tcW w:w="2551" w:type="dxa"/>
            <w:shd w:val="clear" w:color="auto" w:fill="000000" w:themeFill="text1"/>
          </w:tcPr>
          <w:p w14:paraId="0992227A" w14:textId="77777777" w:rsidR="007C454C" w:rsidRPr="00856580" w:rsidRDefault="007C454C" w:rsidP="008E7D61">
            <w:pPr>
              <w:pStyle w:val="ListParagraph"/>
              <w:ind w:left="0"/>
              <w:jc w:val="center"/>
              <w:rPr>
                <w:rFonts w:asciiTheme="minorHAnsi" w:hAnsiTheme="minorHAnsi" w:cstheme="minorHAnsi"/>
                <w:b/>
                <w:bCs/>
              </w:rPr>
            </w:pPr>
            <w:r w:rsidRPr="00856580">
              <w:rPr>
                <w:rFonts w:asciiTheme="minorHAnsi" w:hAnsiTheme="minorHAnsi" w:cstheme="minorHAnsi"/>
                <w:b/>
                <w:bCs/>
              </w:rPr>
              <w:t>Impact</w:t>
            </w:r>
          </w:p>
        </w:tc>
        <w:tc>
          <w:tcPr>
            <w:tcW w:w="1134" w:type="dxa"/>
            <w:shd w:val="clear" w:color="auto" w:fill="000000" w:themeFill="text1"/>
          </w:tcPr>
          <w:p w14:paraId="46415233" w14:textId="77777777" w:rsidR="007C454C" w:rsidRPr="00856580" w:rsidRDefault="007C454C" w:rsidP="008E7D61">
            <w:pPr>
              <w:pStyle w:val="ListParagraph"/>
              <w:ind w:left="0"/>
              <w:jc w:val="center"/>
              <w:rPr>
                <w:rFonts w:asciiTheme="minorHAnsi" w:hAnsiTheme="minorHAnsi" w:cstheme="minorHAnsi"/>
                <w:b/>
                <w:bCs/>
              </w:rPr>
            </w:pPr>
            <w:r w:rsidRPr="00856580">
              <w:rPr>
                <w:rFonts w:asciiTheme="minorHAnsi" w:hAnsiTheme="minorHAnsi" w:cstheme="minorHAnsi"/>
                <w:b/>
                <w:bCs/>
              </w:rPr>
              <w:t>Likelihood</w:t>
            </w:r>
          </w:p>
        </w:tc>
        <w:tc>
          <w:tcPr>
            <w:tcW w:w="3544" w:type="dxa"/>
            <w:shd w:val="clear" w:color="auto" w:fill="000000" w:themeFill="text1"/>
          </w:tcPr>
          <w:p w14:paraId="52FB4AFD" w14:textId="77777777" w:rsidR="007C454C" w:rsidRPr="00856580" w:rsidRDefault="007C454C" w:rsidP="008E7D61">
            <w:pPr>
              <w:pStyle w:val="ListParagraph"/>
              <w:ind w:left="0"/>
              <w:jc w:val="center"/>
              <w:rPr>
                <w:rFonts w:asciiTheme="minorHAnsi" w:hAnsiTheme="minorHAnsi" w:cstheme="minorHAnsi"/>
                <w:b/>
                <w:bCs/>
              </w:rPr>
            </w:pPr>
            <w:r w:rsidRPr="00856580">
              <w:rPr>
                <w:rFonts w:asciiTheme="minorHAnsi" w:hAnsiTheme="minorHAnsi" w:cstheme="minorHAnsi"/>
                <w:b/>
                <w:bCs/>
              </w:rPr>
              <w:t>Mitigation</w:t>
            </w:r>
          </w:p>
        </w:tc>
      </w:tr>
      <w:tr w:rsidR="007C454C" w:rsidRPr="00856580" w14:paraId="3409A34C" w14:textId="77777777" w:rsidTr="003B74C8">
        <w:tc>
          <w:tcPr>
            <w:tcW w:w="550" w:type="dxa"/>
          </w:tcPr>
          <w:p w14:paraId="69503ED9"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1.</w:t>
            </w:r>
          </w:p>
        </w:tc>
        <w:tc>
          <w:tcPr>
            <w:tcW w:w="1571" w:type="dxa"/>
          </w:tcPr>
          <w:p w14:paraId="46880C88"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 xml:space="preserve">Estimated level of retained business rates not achieved. </w:t>
            </w:r>
          </w:p>
        </w:tc>
        <w:tc>
          <w:tcPr>
            <w:tcW w:w="2551" w:type="dxa"/>
          </w:tcPr>
          <w:p w14:paraId="6C55A75A"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Impacts on LEP’s ability to repay debt, could lead to default on loans and reputational damage.</w:t>
            </w:r>
          </w:p>
        </w:tc>
        <w:tc>
          <w:tcPr>
            <w:tcW w:w="1134" w:type="dxa"/>
          </w:tcPr>
          <w:p w14:paraId="2D0221C1" w14:textId="74AF8B72" w:rsidR="007C454C" w:rsidRPr="007C454C" w:rsidRDefault="008E7D61" w:rsidP="008E7D61">
            <w:pPr>
              <w:pStyle w:val="ListParagraph"/>
              <w:ind w:left="0"/>
              <w:jc w:val="center"/>
              <w:rPr>
                <w:rFonts w:cstheme="majorHAnsi"/>
                <w:sz w:val="18"/>
                <w:szCs w:val="18"/>
              </w:rPr>
            </w:pPr>
            <w:r>
              <w:rPr>
                <w:rFonts w:cstheme="majorHAnsi"/>
                <w:sz w:val="18"/>
                <w:szCs w:val="18"/>
              </w:rPr>
              <w:t>Moderate</w:t>
            </w:r>
          </w:p>
        </w:tc>
        <w:tc>
          <w:tcPr>
            <w:tcW w:w="3544" w:type="dxa"/>
          </w:tcPr>
          <w:p w14:paraId="45D5BEE8"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LEP policy of only investing half of estimated retained business rates provides headroom if retained business rates are lower than estimated. We have adopted Cushman &amp; Wakefield’s much lower estimates of retained business rates from the two projects.</w:t>
            </w:r>
          </w:p>
        </w:tc>
      </w:tr>
      <w:tr w:rsidR="007C454C" w:rsidRPr="00856580" w14:paraId="4AF25DB8" w14:textId="77777777" w:rsidTr="003B74C8">
        <w:tc>
          <w:tcPr>
            <w:tcW w:w="550" w:type="dxa"/>
          </w:tcPr>
          <w:p w14:paraId="70CA6C5A"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2.</w:t>
            </w:r>
          </w:p>
        </w:tc>
        <w:tc>
          <w:tcPr>
            <w:tcW w:w="1571" w:type="dxa"/>
          </w:tcPr>
          <w:p w14:paraId="20ABBF6B"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Developers do not deliver projects on time or on budget.</w:t>
            </w:r>
          </w:p>
        </w:tc>
        <w:tc>
          <w:tcPr>
            <w:tcW w:w="2551" w:type="dxa"/>
          </w:tcPr>
          <w:p w14:paraId="77DB361F"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Delays in completion of schemes would impact on level of retained business rates, whilst budget overruns would further increase the viability gap on schemes.</w:t>
            </w:r>
          </w:p>
        </w:tc>
        <w:tc>
          <w:tcPr>
            <w:tcW w:w="1134" w:type="dxa"/>
          </w:tcPr>
          <w:p w14:paraId="2FB843B1" w14:textId="77777777" w:rsidR="007C454C" w:rsidRPr="007C454C" w:rsidRDefault="007C454C" w:rsidP="008E7D61">
            <w:pPr>
              <w:pStyle w:val="ListParagraph"/>
              <w:ind w:left="0"/>
              <w:jc w:val="center"/>
              <w:rPr>
                <w:rFonts w:cstheme="majorHAnsi"/>
                <w:sz w:val="18"/>
                <w:szCs w:val="18"/>
              </w:rPr>
            </w:pPr>
            <w:r w:rsidRPr="007C454C">
              <w:rPr>
                <w:rFonts w:cstheme="majorHAnsi"/>
                <w:sz w:val="18"/>
                <w:szCs w:val="18"/>
              </w:rPr>
              <w:t>Moderate</w:t>
            </w:r>
          </w:p>
        </w:tc>
        <w:tc>
          <w:tcPr>
            <w:tcW w:w="3544" w:type="dxa"/>
          </w:tcPr>
          <w:p w14:paraId="4B099DAA" w14:textId="77777777" w:rsidR="007C454C" w:rsidRPr="007C454C" w:rsidRDefault="007C454C" w:rsidP="008E7D61">
            <w:pPr>
              <w:rPr>
                <w:rFonts w:cstheme="majorHAnsi"/>
                <w:sz w:val="18"/>
                <w:szCs w:val="18"/>
              </w:rPr>
            </w:pPr>
            <w:r w:rsidRPr="007C454C">
              <w:rPr>
                <w:rFonts w:cstheme="majorHAnsi"/>
                <w:sz w:val="18"/>
                <w:szCs w:val="18"/>
              </w:rPr>
              <w:t>Bruntwood are an established national developer with a strong track record of developing at Alderley Park. They have recently entered into a new £350m joint venture with Legal &amp; General. EZ investment is capped, any cost‐overruns are met by the applicant. We build long‐stop start and completion date into our legal agreements.</w:t>
            </w:r>
          </w:p>
        </w:tc>
      </w:tr>
      <w:tr w:rsidR="007C454C" w:rsidRPr="00856580" w14:paraId="546E6EEC" w14:textId="77777777" w:rsidTr="003B74C8">
        <w:tc>
          <w:tcPr>
            <w:tcW w:w="550" w:type="dxa"/>
          </w:tcPr>
          <w:p w14:paraId="4F024950"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3.</w:t>
            </w:r>
          </w:p>
        </w:tc>
        <w:tc>
          <w:tcPr>
            <w:tcW w:w="1571" w:type="dxa"/>
          </w:tcPr>
          <w:p w14:paraId="25C36A5D" w14:textId="77777777" w:rsidR="007C454C" w:rsidRPr="007C454C" w:rsidRDefault="007C454C" w:rsidP="008E7D61">
            <w:pPr>
              <w:rPr>
                <w:rFonts w:cstheme="majorHAnsi"/>
                <w:sz w:val="18"/>
                <w:szCs w:val="18"/>
              </w:rPr>
            </w:pPr>
            <w:r w:rsidRPr="007C454C">
              <w:rPr>
                <w:rFonts w:cstheme="majorHAnsi"/>
                <w:sz w:val="18"/>
                <w:szCs w:val="18"/>
              </w:rPr>
              <w:t xml:space="preserve">Schemes do not achieve practical completion, </w:t>
            </w:r>
          </w:p>
          <w:p w14:paraId="54D445A1" w14:textId="77777777" w:rsidR="007C454C" w:rsidRPr="007C454C" w:rsidRDefault="007C454C" w:rsidP="008E7D61">
            <w:pPr>
              <w:rPr>
                <w:rFonts w:cstheme="majorHAnsi"/>
                <w:sz w:val="18"/>
                <w:szCs w:val="18"/>
              </w:rPr>
            </w:pPr>
            <w:r w:rsidRPr="007C454C">
              <w:rPr>
                <w:rFonts w:cstheme="majorHAnsi"/>
                <w:sz w:val="18"/>
                <w:szCs w:val="18"/>
              </w:rPr>
              <w:t xml:space="preserve">which does </w:t>
            </w:r>
          </w:p>
          <w:p w14:paraId="6E801524" w14:textId="77777777" w:rsidR="007C454C" w:rsidRPr="007C454C" w:rsidRDefault="007C454C" w:rsidP="008E7D61">
            <w:pPr>
              <w:rPr>
                <w:rFonts w:cstheme="majorHAnsi"/>
                <w:sz w:val="18"/>
                <w:szCs w:val="18"/>
              </w:rPr>
            </w:pPr>
            <w:r w:rsidRPr="007C454C">
              <w:rPr>
                <w:rFonts w:cstheme="majorHAnsi"/>
                <w:sz w:val="18"/>
                <w:szCs w:val="18"/>
              </w:rPr>
              <w:t xml:space="preserve">not trigger the </w:t>
            </w:r>
          </w:p>
          <w:p w14:paraId="42B7F63F" w14:textId="77777777" w:rsidR="007C454C" w:rsidRPr="007C454C" w:rsidRDefault="007C454C" w:rsidP="008E7D61">
            <w:pPr>
              <w:rPr>
                <w:rFonts w:cstheme="majorHAnsi"/>
                <w:sz w:val="18"/>
                <w:szCs w:val="18"/>
              </w:rPr>
            </w:pPr>
            <w:r w:rsidRPr="007C454C">
              <w:rPr>
                <w:rFonts w:cstheme="majorHAnsi"/>
                <w:sz w:val="18"/>
                <w:szCs w:val="18"/>
              </w:rPr>
              <w:t>payment of business rates.</w:t>
            </w:r>
          </w:p>
        </w:tc>
        <w:tc>
          <w:tcPr>
            <w:tcW w:w="2551" w:type="dxa"/>
          </w:tcPr>
          <w:p w14:paraId="266EA595" w14:textId="77777777" w:rsidR="007C454C" w:rsidRPr="007C454C" w:rsidRDefault="007C454C" w:rsidP="008E7D61">
            <w:pPr>
              <w:rPr>
                <w:rFonts w:cstheme="majorHAnsi"/>
                <w:sz w:val="18"/>
                <w:szCs w:val="18"/>
              </w:rPr>
            </w:pPr>
            <w:r w:rsidRPr="007C454C">
              <w:rPr>
                <w:rFonts w:cstheme="majorHAnsi"/>
                <w:sz w:val="18"/>
                <w:szCs w:val="18"/>
              </w:rPr>
              <w:t xml:space="preserve">Would impact on the ability of the LEP to repay funding.  </w:t>
            </w:r>
          </w:p>
        </w:tc>
        <w:tc>
          <w:tcPr>
            <w:tcW w:w="1134" w:type="dxa"/>
          </w:tcPr>
          <w:p w14:paraId="7DD2FEAC" w14:textId="77777777" w:rsidR="007C454C" w:rsidRPr="007C454C" w:rsidRDefault="007C454C" w:rsidP="008E7D61">
            <w:pPr>
              <w:pStyle w:val="ListParagraph"/>
              <w:ind w:left="0"/>
              <w:jc w:val="center"/>
              <w:rPr>
                <w:rFonts w:cstheme="majorHAnsi"/>
                <w:sz w:val="18"/>
                <w:szCs w:val="18"/>
              </w:rPr>
            </w:pPr>
            <w:r w:rsidRPr="007C454C">
              <w:rPr>
                <w:rFonts w:cstheme="majorHAnsi"/>
                <w:sz w:val="18"/>
                <w:szCs w:val="18"/>
              </w:rPr>
              <w:t>Moderate</w:t>
            </w:r>
          </w:p>
        </w:tc>
        <w:tc>
          <w:tcPr>
            <w:tcW w:w="3544" w:type="dxa"/>
          </w:tcPr>
          <w:p w14:paraId="2280F982" w14:textId="77777777" w:rsidR="007C454C" w:rsidRPr="007C454C" w:rsidRDefault="007C454C" w:rsidP="008E7D61">
            <w:pPr>
              <w:rPr>
                <w:rFonts w:cstheme="majorHAnsi"/>
                <w:sz w:val="18"/>
                <w:szCs w:val="18"/>
              </w:rPr>
            </w:pPr>
            <w:r w:rsidRPr="007C454C">
              <w:rPr>
                <w:rFonts w:cstheme="majorHAnsi"/>
                <w:sz w:val="18"/>
                <w:szCs w:val="18"/>
              </w:rPr>
              <w:t xml:space="preserve">Track record of the developer and a longstop completion date set within the </w:t>
            </w:r>
          </w:p>
          <w:p w14:paraId="48F0AECB" w14:textId="77777777" w:rsidR="007C454C" w:rsidRPr="007C454C" w:rsidRDefault="007C454C" w:rsidP="008E7D61">
            <w:pPr>
              <w:rPr>
                <w:rFonts w:cstheme="majorHAnsi"/>
                <w:sz w:val="18"/>
                <w:szCs w:val="18"/>
              </w:rPr>
            </w:pPr>
            <w:r w:rsidRPr="007C454C">
              <w:rPr>
                <w:rFonts w:cstheme="majorHAnsi"/>
                <w:sz w:val="18"/>
                <w:szCs w:val="18"/>
              </w:rPr>
              <w:t xml:space="preserve">legal agreement, with clawback penalties for under‐performance.  </w:t>
            </w:r>
          </w:p>
        </w:tc>
      </w:tr>
      <w:tr w:rsidR="007C454C" w:rsidRPr="00856580" w14:paraId="2CDC7AAB" w14:textId="77777777" w:rsidTr="003B74C8">
        <w:tc>
          <w:tcPr>
            <w:tcW w:w="550" w:type="dxa"/>
          </w:tcPr>
          <w:p w14:paraId="2BA23106"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4.</w:t>
            </w:r>
          </w:p>
        </w:tc>
        <w:tc>
          <w:tcPr>
            <w:tcW w:w="1571" w:type="dxa"/>
          </w:tcPr>
          <w:p w14:paraId="083F6C21" w14:textId="77777777" w:rsidR="007C454C" w:rsidRPr="007C454C" w:rsidRDefault="007C454C" w:rsidP="008E7D61">
            <w:pPr>
              <w:rPr>
                <w:rFonts w:cstheme="majorHAnsi"/>
                <w:sz w:val="18"/>
                <w:szCs w:val="18"/>
              </w:rPr>
            </w:pPr>
            <w:r w:rsidRPr="007C454C">
              <w:rPr>
                <w:rFonts w:cstheme="majorHAnsi"/>
                <w:sz w:val="18"/>
                <w:szCs w:val="18"/>
              </w:rPr>
              <w:t>Developers deploy rate mitigation schemes to avoid empty rates.</w:t>
            </w:r>
          </w:p>
        </w:tc>
        <w:tc>
          <w:tcPr>
            <w:tcW w:w="2551" w:type="dxa"/>
          </w:tcPr>
          <w:p w14:paraId="0423E344" w14:textId="77777777" w:rsidR="007C454C" w:rsidRPr="007C454C" w:rsidRDefault="007C454C" w:rsidP="008E7D61">
            <w:pPr>
              <w:rPr>
                <w:rFonts w:cstheme="majorHAnsi"/>
                <w:sz w:val="18"/>
                <w:szCs w:val="18"/>
              </w:rPr>
            </w:pPr>
            <w:r w:rsidRPr="007C454C">
              <w:rPr>
                <w:rFonts w:cstheme="majorHAnsi"/>
                <w:sz w:val="18"/>
                <w:szCs w:val="18"/>
              </w:rPr>
              <w:t xml:space="preserve">Could reduce empty </w:t>
            </w:r>
          </w:p>
          <w:p w14:paraId="6FD260CC" w14:textId="77777777" w:rsidR="007C454C" w:rsidRPr="007C454C" w:rsidRDefault="007C454C" w:rsidP="008E7D61">
            <w:pPr>
              <w:rPr>
                <w:rFonts w:cstheme="majorHAnsi"/>
                <w:sz w:val="18"/>
                <w:szCs w:val="18"/>
              </w:rPr>
            </w:pPr>
            <w:r w:rsidRPr="007C454C">
              <w:rPr>
                <w:rFonts w:cstheme="majorHAnsi"/>
                <w:sz w:val="18"/>
                <w:szCs w:val="18"/>
              </w:rPr>
              <w:t>rates payable to 25%, would impact on the ability of the LEP to repay borrowing.</w:t>
            </w:r>
          </w:p>
        </w:tc>
        <w:tc>
          <w:tcPr>
            <w:tcW w:w="1134" w:type="dxa"/>
          </w:tcPr>
          <w:p w14:paraId="74D85BAE" w14:textId="77777777" w:rsidR="007C454C" w:rsidRPr="007C454C" w:rsidRDefault="007C454C" w:rsidP="008E7D61">
            <w:pPr>
              <w:pStyle w:val="ListParagraph"/>
              <w:ind w:left="0"/>
              <w:jc w:val="center"/>
              <w:rPr>
                <w:rFonts w:cstheme="majorHAnsi"/>
                <w:sz w:val="18"/>
                <w:szCs w:val="18"/>
              </w:rPr>
            </w:pPr>
            <w:r w:rsidRPr="007C454C">
              <w:rPr>
                <w:rFonts w:cstheme="majorHAnsi"/>
                <w:sz w:val="18"/>
                <w:szCs w:val="18"/>
              </w:rPr>
              <w:t>Low</w:t>
            </w:r>
          </w:p>
        </w:tc>
        <w:tc>
          <w:tcPr>
            <w:tcW w:w="3544" w:type="dxa"/>
          </w:tcPr>
          <w:p w14:paraId="2B421FDE" w14:textId="77777777" w:rsidR="007C454C" w:rsidRPr="007C454C" w:rsidRDefault="007C454C" w:rsidP="008E7D61">
            <w:pPr>
              <w:rPr>
                <w:rFonts w:cstheme="majorHAnsi"/>
                <w:sz w:val="18"/>
                <w:szCs w:val="18"/>
              </w:rPr>
            </w:pPr>
            <w:r w:rsidRPr="007C454C">
              <w:rPr>
                <w:rFonts w:cstheme="majorHAnsi"/>
                <w:sz w:val="18"/>
                <w:szCs w:val="18"/>
              </w:rPr>
              <w:t xml:space="preserve">A ‘no rate mitigation’ clause built into the </w:t>
            </w:r>
          </w:p>
          <w:p w14:paraId="22CD52A7" w14:textId="77777777" w:rsidR="007C454C" w:rsidRPr="007C454C" w:rsidRDefault="007C454C" w:rsidP="008E7D61">
            <w:pPr>
              <w:rPr>
                <w:rFonts w:cstheme="majorHAnsi"/>
                <w:sz w:val="18"/>
                <w:szCs w:val="18"/>
              </w:rPr>
            </w:pPr>
            <w:r w:rsidRPr="007C454C">
              <w:rPr>
                <w:rFonts w:cstheme="majorHAnsi"/>
                <w:sz w:val="18"/>
                <w:szCs w:val="18"/>
              </w:rPr>
              <w:t xml:space="preserve">EZ investment legal agreement, which </w:t>
            </w:r>
          </w:p>
          <w:p w14:paraId="39E8A3B0" w14:textId="77777777" w:rsidR="007C454C" w:rsidRPr="007C454C" w:rsidRDefault="007C454C" w:rsidP="008E7D61">
            <w:pPr>
              <w:rPr>
                <w:rFonts w:cstheme="majorHAnsi"/>
                <w:sz w:val="18"/>
                <w:szCs w:val="18"/>
              </w:rPr>
            </w:pPr>
            <w:r w:rsidRPr="007C454C">
              <w:rPr>
                <w:rFonts w:cstheme="majorHAnsi"/>
                <w:sz w:val="18"/>
                <w:szCs w:val="18"/>
              </w:rPr>
              <w:t>means that developers cannot mitigate their empty rates liabilities.</w:t>
            </w:r>
          </w:p>
        </w:tc>
      </w:tr>
      <w:tr w:rsidR="007C454C" w:rsidRPr="00856580" w14:paraId="03A2E31B" w14:textId="77777777" w:rsidTr="003B74C8">
        <w:tc>
          <w:tcPr>
            <w:tcW w:w="550" w:type="dxa"/>
          </w:tcPr>
          <w:p w14:paraId="215AC2E5"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5.</w:t>
            </w:r>
          </w:p>
        </w:tc>
        <w:tc>
          <w:tcPr>
            <w:tcW w:w="1571" w:type="dxa"/>
          </w:tcPr>
          <w:p w14:paraId="31F39DB0"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Schemes do not attract occupiers.</w:t>
            </w:r>
          </w:p>
        </w:tc>
        <w:tc>
          <w:tcPr>
            <w:tcW w:w="2551" w:type="dxa"/>
          </w:tcPr>
          <w:p w14:paraId="69F54240"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Limited impact as developers/landlords still have to pay empty rates</w:t>
            </w:r>
          </w:p>
        </w:tc>
        <w:tc>
          <w:tcPr>
            <w:tcW w:w="1134" w:type="dxa"/>
          </w:tcPr>
          <w:p w14:paraId="00FB7EE0" w14:textId="77777777" w:rsidR="007C454C" w:rsidRPr="007C454C" w:rsidRDefault="007C454C" w:rsidP="008E7D61">
            <w:pPr>
              <w:pStyle w:val="ListParagraph"/>
              <w:ind w:left="0"/>
              <w:jc w:val="center"/>
              <w:rPr>
                <w:rFonts w:cstheme="majorHAnsi"/>
                <w:sz w:val="18"/>
                <w:szCs w:val="18"/>
              </w:rPr>
            </w:pPr>
            <w:r w:rsidRPr="007C454C">
              <w:rPr>
                <w:rFonts w:cstheme="majorHAnsi"/>
                <w:sz w:val="18"/>
                <w:szCs w:val="18"/>
              </w:rPr>
              <w:t>Moderate</w:t>
            </w:r>
          </w:p>
        </w:tc>
        <w:tc>
          <w:tcPr>
            <w:tcW w:w="3544" w:type="dxa"/>
          </w:tcPr>
          <w:p w14:paraId="4B3F00E3" w14:textId="77777777" w:rsidR="007C454C" w:rsidRPr="007C454C" w:rsidRDefault="007C454C" w:rsidP="008E7D61">
            <w:pPr>
              <w:rPr>
                <w:rFonts w:cstheme="majorHAnsi"/>
                <w:sz w:val="18"/>
                <w:szCs w:val="18"/>
              </w:rPr>
            </w:pPr>
            <w:r w:rsidRPr="007C454C">
              <w:rPr>
                <w:rFonts w:cstheme="majorHAnsi"/>
                <w:sz w:val="18"/>
                <w:szCs w:val="18"/>
              </w:rPr>
              <w:t xml:space="preserve">Applicant has demonstrated that occupiers </w:t>
            </w:r>
          </w:p>
          <w:p w14:paraId="4B11D011" w14:textId="77777777" w:rsidR="007C454C" w:rsidRPr="007C454C" w:rsidRDefault="007C454C" w:rsidP="008E7D61">
            <w:pPr>
              <w:rPr>
                <w:rFonts w:cstheme="majorHAnsi"/>
                <w:sz w:val="18"/>
                <w:szCs w:val="18"/>
              </w:rPr>
            </w:pPr>
            <w:r w:rsidRPr="007C454C">
              <w:rPr>
                <w:rFonts w:cstheme="majorHAnsi"/>
                <w:sz w:val="18"/>
                <w:szCs w:val="18"/>
              </w:rPr>
              <w:t xml:space="preserve">are currently being turned away or </w:t>
            </w:r>
          </w:p>
          <w:p w14:paraId="05680C0C" w14:textId="77777777" w:rsidR="007C454C" w:rsidRPr="007C454C" w:rsidRDefault="007C454C" w:rsidP="008E7D61">
            <w:pPr>
              <w:rPr>
                <w:rFonts w:cstheme="majorHAnsi"/>
                <w:sz w:val="18"/>
                <w:szCs w:val="18"/>
              </w:rPr>
            </w:pPr>
            <w:r w:rsidRPr="007C454C">
              <w:rPr>
                <w:rFonts w:cstheme="majorHAnsi"/>
                <w:sz w:val="18"/>
                <w:szCs w:val="18"/>
              </w:rPr>
              <w:t>directed to unsuitable space due to the lack of existing supply.</w:t>
            </w:r>
          </w:p>
        </w:tc>
      </w:tr>
      <w:tr w:rsidR="007C454C" w:rsidRPr="00856580" w14:paraId="0A13C581" w14:textId="77777777" w:rsidTr="003B74C8">
        <w:tc>
          <w:tcPr>
            <w:tcW w:w="550" w:type="dxa"/>
          </w:tcPr>
          <w:p w14:paraId="1AEF45DF" w14:textId="77777777" w:rsidR="007C454C" w:rsidRPr="007C454C" w:rsidRDefault="007C454C" w:rsidP="008E7D61">
            <w:pPr>
              <w:pStyle w:val="ListParagraph"/>
              <w:ind w:left="0"/>
              <w:rPr>
                <w:rFonts w:cstheme="majorHAnsi"/>
                <w:sz w:val="18"/>
                <w:szCs w:val="18"/>
              </w:rPr>
            </w:pPr>
            <w:r w:rsidRPr="007C454C">
              <w:rPr>
                <w:rFonts w:cstheme="majorHAnsi"/>
                <w:sz w:val="18"/>
                <w:szCs w:val="18"/>
              </w:rPr>
              <w:lastRenderedPageBreak/>
              <w:t>6.</w:t>
            </w:r>
          </w:p>
        </w:tc>
        <w:tc>
          <w:tcPr>
            <w:tcW w:w="1571" w:type="dxa"/>
          </w:tcPr>
          <w:p w14:paraId="6858454A" w14:textId="77777777" w:rsidR="007C454C" w:rsidRPr="007C454C" w:rsidRDefault="007C454C" w:rsidP="008E7D61">
            <w:pPr>
              <w:rPr>
                <w:rFonts w:cstheme="majorHAnsi"/>
                <w:sz w:val="18"/>
                <w:szCs w:val="18"/>
              </w:rPr>
            </w:pPr>
            <w:r w:rsidRPr="007C454C">
              <w:rPr>
                <w:rFonts w:cstheme="majorHAnsi"/>
                <w:sz w:val="18"/>
                <w:szCs w:val="18"/>
              </w:rPr>
              <w:t xml:space="preserve">Investments </w:t>
            </w:r>
          </w:p>
          <w:p w14:paraId="1D671A73" w14:textId="77777777" w:rsidR="007C454C" w:rsidRPr="007C454C" w:rsidRDefault="007C454C" w:rsidP="008E7D61">
            <w:pPr>
              <w:rPr>
                <w:rFonts w:cstheme="majorHAnsi"/>
                <w:sz w:val="18"/>
                <w:szCs w:val="18"/>
              </w:rPr>
            </w:pPr>
            <w:r w:rsidRPr="007C454C">
              <w:rPr>
                <w:rFonts w:cstheme="majorHAnsi"/>
                <w:sz w:val="18"/>
                <w:szCs w:val="18"/>
              </w:rPr>
              <w:t>are not deemed to be State Aid compliant.</w:t>
            </w:r>
          </w:p>
        </w:tc>
        <w:tc>
          <w:tcPr>
            <w:tcW w:w="2551" w:type="dxa"/>
          </w:tcPr>
          <w:p w14:paraId="176E7D34"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Limited impact as the risk on State Aid sits with the developer</w:t>
            </w:r>
          </w:p>
        </w:tc>
        <w:tc>
          <w:tcPr>
            <w:tcW w:w="1134" w:type="dxa"/>
          </w:tcPr>
          <w:p w14:paraId="04C5FC0D" w14:textId="77777777" w:rsidR="007C454C" w:rsidRPr="007C454C" w:rsidRDefault="007C454C" w:rsidP="008E7D61">
            <w:pPr>
              <w:pStyle w:val="ListParagraph"/>
              <w:ind w:left="0"/>
              <w:jc w:val="center"/>
              <w:rPr>
                <w:rFonts w:cstheme="majorHAnsi"/>
                <w:sz w:val="18"/>
                <w:szCs w:val="18"/>
              </w:rPr>
            </w:pPr>
            <w:r w:rsidRPr="007C454C">
              <w:rPr>
                <w:rFonts w:cstheme="majorHAnsi"/>
                <w:sz w:val="18"/>
                <w:szCs w:val="18"/>
              </w:rPr>
              <w:t>Moderate</w:t>
            </w:r>
          </w:p>
        </w:tc>
        <w:tc>
          <w:tcPr>
            <w:tcW w:w="3544" w:type="dxa"/>
          </w:tcPr>
          <w:p w14:paraId="3A632F21" w14:textId="77777777" w:rsidR="007C454C" w:rsidRPr="007C454C" w:rsidRDefault="007C454C" w:rsidP="008E7D61">
            <w:pPr>
              <w:pStyle w:val="ListParagraph"/>
              <w:ind w:left="0"/>
              <w:rPr>
                <w:rFonts w:cstheme="majorHAnsi"/>
                <w:sz w:val="18"/>
                <w:szCs w:val="18"/>
              </w:rPr>
            </w:pPr>
            <w:r w:rsidRPr="007C454C">
              <w:rPr>
                <w:rFonts w:cstheme="majorHAnsi"/>
                <w:sz w:val="18"/>
                <w:szCs w:val="18"/>
              </w:rPr>
              <w:t>Provision of a State Aid opinion as part of the legal agreement, which is assessed by the LEP’s legal advisers. Clawback provisions in the legal agreement are triggered by any breach of State Aid.</w:t>
            </w:r>
          </w:p>
        </w:tc>
      </w:tr>
    </w:tbl>
    <w:p w14:paraId="086518DC" w14:textId="2977772E" w:rsidR="007C454C" w:rsidRDefault="007C454C" w:rsidP="00270AFF">
      <w:pPr>
        <w:spacing w:line="257" w:lineRule="auto"/>
        <w:ind w:firstLine="426"/>
        <w:jc w:val="both"/>
        <w:rPr>
          <w:rFonts w:ascii="Calibri Light" w:eastAsia="Calibri" w:hAnsi="Calibri Light" w:cs="Times New Roman"/>
        </w:rPr>
      </w:pPr>
    </w:p>
    <w:p w14:paraId="145F2BEB" w14:textId="4E1AD3A2" w:rsidR="00DA7BE4" w:rsidRDefault="008122E7" w:rsidP="00DA7BE4">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Pr>
          <w:rFonts w:asciiTheme="minorHAnsi" w:eastAsiaTheme="majorEastAsia" w:hAnsiTheme="minorHAnsi" w:cstheme="majorBidi"/>
          <w:b/>
          <w:szCs w:val="24"/>
        </w:rPr>
        <w:t xml:space="preserve">Independent </w:t>
      </w:r>
      <w:r w:rsidR="00DA7BE4" w:rsidRPr="00270AFF">
        <w:rPr>
          <w:rFonts w:asciiTheme="minorHAnsi" w:eastAsiaTheme="majorEastAsia" w:hAnsiTheme="minorHAnsi" w:cstheme="majorBidi"/>
          <w:b/>
          <w:szCs w:val="24"/>
        </w:rPr>
        <w:t>appraisal</w:t>
      </w:r>
    </w:p>
    <w:p w14:paraId="16BD37F9" w14:textId="77777777" w:rsidR="003B74C8" w:rsidRDefault="003B74C8" w:rsidP="003B74C8">
      <w:pPr>
        <w:ind w:left="426"/>
      </w:pPr>
      <w:r>
        <w:t>Cushman &amp; Wakefield have undertaken an independent technical appraisal of the proposed investment which notes that:</w:t>
      </w:r>
    </w:p>
    <w:p w14:paraId="613A9DD0" w14:textId="77777777" w:rsidR="003B74C8" w:rsidRDefault="003B74C8" w:rsidP="003B74C8">
      <w:pPr>
        <w:pStyle w:val="ListParagraph"/>
        <w:numPr>
          <w:ilvl w:val="0"/>
          <w:numId w:val="48"/>
        </w:numPr>
        <w:ind w:left="992" w:hanging="567"/>
        <w:contextualSpacing w:val="0"/>
        <w:jc w:val="both"/>
      </w:pPr>
      <w:r>
        <w:t xml:space="preserve">The projects demonstrate a good strategic fit with the overarching Cheshire Science Corridor Development and Investment Strategy, the site‐specific Development Plan for Alderley Park and a number of wider local and national strategies for economic growth.  </w:t>
      </w:r>
    </w:p>
    <w:p w14:paraId="5543822E" w14:textId="77777777" w:rsidR="003B74C8" w:rsidRDefault="003B74C8" w:rsidP="003B74C8">
      <w:pPr>
        <w:pStyle w:val="ListParagraph"/>
        <w:numPr>
          <w:ilvl w:val="0"/>
          <w:numId w:val="48"/>
        </w:numPr>
        <w:ind w:left="992" w:hanging="567"/>
        <w:contextualSpacing w:val="0"/>
        <w:jc w:val="both"/>
      </w:pPr>
      <w:r>
        <w:t>There is a clear demand for the projects, although market evidence is limited, the applicant has demonstrated that occupiers are currently being turned away or directed to unsuitable space dues to the lack of existing supply. A vacancy schedule indicates c.50,000 sq ft of currently available space across Alderley Park is spread across a number of buildings and reported to be of low quality and therefore difficult to let. A schedule of enquires has been provided demonstrating interest from 51 businesses for c.330,000 sq ft of bioscience (laboratory and office) and tech/office space at Alderley Park over the next two years – over 6 times the existing available supply.</w:t>
      </w:r>
    </w:p>
    <w:p w14:paraId="762C7B46" w14:textId="77777777" w:rsidR="003B74C8" w:rsidRDefault="003B74C8" w:rsidP="003B74C8">
      <w:pPr>
        <w:pStyle w:val="ListParagraph"/>
        <w:numPr>
          <w:ilvl w:val="0"/>
          <w:numId w:val="48"/>
        </w:numPr>
        <w:ind w:left="992" w:hanging="567"/>
        <w:contextualSpacing w:val="0"/>
        <w:jc w:val="both"/>
      </w:pPr>
      <w:r>
        <w:t>The applicant has over-estimated both the job and GVA outputs from both projects, applying higher job densities applicable to general office space to the projects. However, even when Cushman &amp; Wakefield apply lower job densities for laboratories, the projects still represent medium to good value for money in terms of job creation and GVA relative to the EZ ask.</w:t>
      </w:r>
    </w:p>
    <w:p w14:paraId="2861B36B" w14:textId="77777777" w:rsidR="003B74C8" w:rsidRDefault="003B74C8" w:rsidP="003B74C8">
      <w:pPr>
        <w:pStyle w:val="ListParagraph"/>
        <w:numPr>
          <w:ilvl w:val="0"/>
          <w:numId w:val="48"/>
        </w:numPr>
        <w:ind w:left="992" w:hanging="567"/>
        <w:contextualSpacing w:val="0"/>
        <w:jc w:val="both"/>
      </w:pPr>
      <w:r>
        <w:t>The applicant estimates that the projects would generate c.£1.3m per annum in retained business rates, which would provide a payback of 4.6 years. However, Cushman &amp; Wakefield have tested this and found it to represent a significant overestimation including counting the retained business rates from Royal London. Cushman &amp; Wakefield’s estimate, when accounting for the whole of the MSCP is £401,500 per annum, which would increase the payback to 9.9 years (based on full occupancy). This is on the cusp of acceptable payback period for the LEP. Cushman &amp; Wakefield note that this represents a risk to the investment and could limit the opportunity to invest in other ‘better value’ projects. However, it should be noted that it is difficult at this stage to estimate the likely Rateable Value of the MSCP. Cushman &amp; Wakefield have based their assessment of the MSCP on a comparable from an MSCP in Macclesfield of £135 per space. The applicant has used a range of comparables from Wilmslow, Alderley Edge and Knutsford that range from £300-600 per space.</w:t>
      </w:r>
    </w:p>
    <w:p w14:paraId="045312D1" w14:textId="77777777" w:rsidR="003B74C8" w:rsidRDefault="003B74C8" w:rsidP="003B74C8">
      <w:pPr>
        <w:pStyle w:val="ListParagraph"/>
        <w:numPr>
          <w:ilvl w:val="0"/>
          <w:numId w:val="48"/>
        </w:numPr>
        <w:ind w:left="992" w:hanging="567"/>
        <w:contextualSpacing w:val="0"/>
        <w:jc w:val="both"/>
      </w:pPr>
      <w:r>
        <w:t>In terms of delivery, the site is in the freehold ownership of the applicant and is understood to have received planning consent for the proposed scheme and a clear and appropriate delivery strategy is in place. Bruntwood SciTech (the controlling entity of APL) is an established property developer and manager with extensive experience of refurbishment projects of a similar scale and value proposed, including early and ongoing projects at Alderley Park.</w:t>
      </w:r>
    </w:p>
    <w:p w14:paraId="7635BE66" w14:textId="7772A5E4" w:rsidR="003B74C8" w:rsidRPr="00270AFF" w:rsidRDefault="003B74C8" w:rsidP="003B74C8">
      <w:pPr>
        <w:pStyle w:val="ListParagraph"/>
        <w:numPr>
          <w:ilvl w:val="0"/>
          <w:numId w:val="48"/>
        </w:numPr>
        <w:ind w:left="992" w:hanging="567"/>
        <w:contextualSpacing w:val="0"/>
        <w:jc w:val="both"/>
      </w:pPr>
      <w:r>
        <w:t xml:space="preserve">The State Aid legal opinion provided by Addleshaw Goddard (dated 20 May 2019) considers the funding request to be compliant under Article 26 of the GBER (Investment Aid for Local Infrastructure). Aid intensity is within the 50% allowance of eligible costs and a case is made for including the MSCP as critical to ‘research infrastructure’. Cushman &amp; Wakefield have raised concerns that the €20m per infrastructure project investment cap would be exceeded (totalling €22.9m) when the refurbishment of the two blocks and MSCP are considered together. However, </w:t>
      </w:r>
      <w:r>
        <w:lastRenderedPageBreak/>
        <w:t xml:space="preserve">the applicant is proposing that the two projects are considered separately in State Aid terms and this is reflected in the fact that two separate legal opinion letters are provided for each block to bring investment below this threshold. This approach has been tested with both Addleshaw Goddard and the LEP’s legal advisers, DWF, who are broadly satisfied with the approach. At the time of writing we have received an updated legal opinion from Addleshaw Goddard on behalf of the applicant, which is currently being reviewed by DWF on behalf of the LEP. The LEP also has a clawback clause in its legal agreements for any breach of State Aid.  </w:t>
      </w:r>
    </w:p>
    <w:p w14:paraId="347FF2AE" w14:textId="70A660E7" w:rsidR="00A17E73" w:rsidRDefault="00A17E73" w:rsidP="00751FE4">
      <w:pPr>
        <w:pStyle w:val="Heading1"/>
        <w:numPr>
          <w:ilvl w:val="0"/>
          <w:numId w:val="23"/>
        </w:numPr>
        <w:ind w:left="426" w:hanging="426"/>
        <w:jc w:val="both"/>
        <w:rPr>
          <w:rFonts w:cstheme="majorHAnsi"/>
        </w:rPr>
      </w:pPr>
      <w:r w:rsidRPr="00A17E73">
        <w:rPr>
          <w:rFonts w:cstheme="majorHAnsi"/>
        </w:rPr>
        <w:t xml:space="preserve">Investment </w:t>
      </w:r>
      <w:r w:rsidR="008E40B0">
        <w:rPr>
          <w:rFonts w:cstheme="majorHAnsi"/>
        </w:rPr>
        <w:t>a</w:t>
      </w:r>
      <w:r w:rsidRPr="00A17E73">
        <w:rPr>
          <w:rFonts w:cstheme="majorHAnsi"/>
        </w:rPr>
        <w:t xml:space="preserve">greement </w:t>
      </w:r>
    </w:p>
    <w:p w14:paraId="499B6954" w14:textId="2D774B5D" w:rsidR="00266EFD" w:rsidRDefault="00A17E73" w:rsidP="004C0486">
      <w:pPr>
        <w:ind w:left="426"/>
        <w:jc w:val="both"/>
      </w:pPr>
      <w:r>
        <w:t xml:space="preserve">An Investment Agreement </w:t>
      </w:r>
      <w:r w:rsidRPr="00A17E73">
        <w:t xml:space="preserve">has been drawn up by DWF acting for the LEP and </w:t>
      </w:r>
      <w:r w:rsidR="00B76EAA">
        <w:t>Addleshaw Goddard acting for the applicant and a</w:t>
      </w:r>
      <w:r w:rsidRPr="00A17E73">
        <w:t xml:space="preserve"> </w:t>
      </w:r>
      <w:r w:rsidR="00191B67">
        <w:t>T</w:t>
      </w:r>
      <w:r w:rsidRPr="00A17E73">
        <w:t xml:space="preserve">erm </w:t>
      </w:r>
      <w:r w:rsidR="00191B67">
        <w:t>S</w:t>
      </w:r>
      <w:r w:rsidRPr="00A17E73">
        <w:t>heet setting out the key commercial terms in the legal agreement</w:t>
      </w:r>
      <w:r w:rsidR="00266EFD">
        <w:t xml:space="preserve"> is set out in </w:t>
      </w:r>
      <w:r w:rsidR="00266EFD" w:rsidRPr="00266EFD">
        <w:rPr>
          <w:rFonts w:asciiTheme="minorHAnsi" w:hAnsiTheme="minorHAnsi" w:cstheme="minorHAnsi"/>
          <w:b/>
          <w:bCs/>
        </w:rPr>
        <w:t>Appendix A</w:t>
      </w:r>
      <w:r w:rsidR="00F156F1">
        <w:t>.</w:t>
      </w:r>
      <w:r w:rsidRPr="00A17E73">
        <w:t xml:space="preserve"> </w:t>
      </w:r>
    </w:p>
    <w:p w14:paraId="4BDDDC5E" w14:textId="7F61A60B" w:rsidR="00751FE4" w:rsidRDefault="00751FE4" w:rsidP="00751FE4">
      <w:pPr>
        <w:pStyle w:val="Heading1"/>
        <w:numPr>
          <w:ilvl w:val="0"/>
          <w:numId w:val="23"/>
        </w:numPr>
        <w:ind w:left="426" w:hanging="426"/>
        <w:jc w:val="both"/>
        <w:rPr>
          <w:rFonts w:cstheme="majorHAnsi"/>
        </w:rPr>
      </w:pPr>
      <w:r>
        <w:rPr>
          <w:rFonts w:cstheme="majorHAnsi"/>
        </w:rPr>
        <w:t>Funding</w:t>
      </w:r>
    </w:p>
    <w:p w14:paraId="651EC276" w14:textId="64010B35" w:rsidR="00751FE4" w:rsidRPr="00751FE4" w:rsidRDefault="006B65AE" w:rsidP="00660809">
      <w:pPr>
        <w:ind w:left="426"/>
        <w:jc w:val="both"/>
      </w:pPr>
      <w:r>
        <w:t xml:space="preserve">The </w:t>
      </w:r>
      <w:r w:rsidR="00F156F1">
        <w:t xml:space="preserve">investment will be funded through the EZ Borrowing Facility established with </w:t>
      </w:r>
      <w:r w:rsidR="003B74C8">
        <w:t>Cheshire East</w:t>
      </w:r>
      <w:r w:rsidR="00F156F1">
        <w:t xml:space="preserve"> Council which</w:t>
      </w:r>
      <w:r w:rsidR="00B76EAA">
        <w:t xml:space="preserve"> will </w:t>
      </w:r>
      <w:r w:rsidRPr="006B65AE">
        <w:t>be repaid through the retained business rates generated.</w:t>
      </w:r>
      <w:r w:rsidR="00660809">
        <w:t xml:space="preserve"> </w:t>
      </w:r>
    </w:p>
    <w:p w14:paraId="0373E38C" w14:textId="547FF4C4" w:rsidR="00751FE4" w:rsidRDefault="00751FE4" w:rsidP="00751FE4">
      <w:pPr>
        <w:pStyle w:val="Heading1"/>
        <w:numPr>
          <w:ilvl w:val="0"/>
          <w:numId w:val="23"/>
        </w:numPr>
        <w:ind w:left="426" w:hanging="426"/>
        <w:jc w:val="both"/>
        <w:rPr>
          <w:rFonts w:cstheme="majorHAnsi"/>
        </w:rPr>
      </w:pPr>
      <w:r>
        <w:rPr>
          <w:rFonts w:cstheme="majorHAnsi"/>
        </w:rPr>
        <w:t>Conclusions and recommendations</w:t>
      </w:r>
    </w:p>
    <w:p w14:paraId="0EFD6762" w14:textId="3BFC40BC" w:rsidR="00B76EAA" w:rsidRPr="00F156F1" w:rsidRDefault="00DC25EE" w:rsidP="00913DC8">
      <w:pPr>
        <w:ind w:left="426"/>
        <w:jc w:val="both"/>
      </w:pPr>
      <w:r>
        <w:t xml:space="preserve">The two projects </w:t>
      </w:r>
      <w:r w:rsidR="00FA53E5">
        <w:t xml:space="preserve">for Block 22 and Blocks 23 &amp; 24 </w:t>
      </w:r>
      <w:r>
        <w:t xml:space="preserve">at Alderley Park </w:t>
      </w:r>
      <w:r w:rsidR="00A758D0" w:rsidRPr="00F156F1">
        <w:t xml:space="preserve">approved by the EZ Board </w:t>
      </w:r>
      <w:r w:rsidR="00266EFD">
        <w:t xml:space="preserve">and the Performance &amp; Investment Committee </w:t>
      </w:r>
      <w:r w:rsidR="00A758D0" w:rsidRPr="00F156F1">
        <w:t>represents a good investment for the Enterprise Zone. It provides a clear fit with the vision, strategic objectives and investment priorities set out in the EZ Development and Investment Strategy and provides a good ROI in terms of retained business rates and wider economic benefits to the Cheshire Science Corridor and sub-region.</w:t>
      </w:r>
      <w:r>
        <w:t xml:space="preserve"> </w:t>
      </w:r>
    </w:p>
    <w:p w14:paraId="689D5A18" w14:textId="2EB83D48" w:rsidR="00266EFD" w:rsidRDefault="007961BE" w:rsidP="00266EFD">
      <w:pPr>
        <w:ind w:left="426"/>
        <w:jc w:val="both"/>
      </w:pPr>
      <w:bookmarkStart w:id="6" w:name="_Hlk34843193"/>
      <w:r w:rsidRPr="00F156F1">
        <w:t>On this basis, i</w:t>
      </w:r>
      <w:r w:rsidR="00A758D0" w:rsidRPr="00F156F1">
        <w:t xml:space="preserve">t </w:t>
      </w:r>
      <w:r w:rsidR="00266EFD">
        <w:t>is recommended that the LEP Board ratifies the decision of the Enterprise Zone Board and the Performance &amp; Investment Committee</w:t>
      </w:r>
      <w:r w:rsidR="00266EFD" w:rsidRPr="00F156F1">
        <w:t xml:space="preserve"> </w:t>
      </w:r>
      <w:r w:rsidR="00266EFD">
        <w:t xml:space="preserve">to approve the investment in the </w:t>
      </w:r>
      <w:r w:rsidR="00DC25EE">
        <w:t>Block 22 and Blocks 23 &amp; 24 projects</w:t>
      </w:r>
      <w:r w:rsidR="00266EFD">
        <w:t xml:space="preserve"> </w:t>
      </w:r>
      <w:r w:rsidR="00DC25EE">
        <w:t xml:space="preserve">at Alderley Park </w:t>
      </w:r>
      <w:r w:rsidR="00266EFD">
        <w:t>and delegates authority to the Chair of the Enterprise Zone Board to sign the legal agreement with the applicant, subject to t</w:t>
      </w:r>
      <w:r w:rsidR="00DC25EE">
        <w:t>he following conditions:</w:t>
      </w:r>
    </w:p>
    <w:bookmarkEnd w:id="3"/>
    <w:bookmarkEnd w:id="6"/>
    <w:p w14:paraId="26572171" w14:textId="77777777" w:rsidR="00DC25EE" w:rsidRDefault="00DC25EE" w:rsidP="00DC25EE">
      <w:pPr>
        <w:pStyle w:val="ListParagraph"/>
        <w:numPr>
          <w:ilvl w:val="0"/>
          <w:numId w:val="49"/>
        </w:numPr>
        <w:ind w:left="850" w:hanging="425"/>
        <w:contextualSpacing w:val="0"/>
        <w:jc w:val="both"/>
      </w:pPr>
      <w:r>
        <w:t>EZ loan facility being in place</w:t>
      </w:r>
    </w:p>
    <w:p w14:paraId="77AAC4FD" w14:textId="77777777" w:rsidR="00DC25EE" w:rsidRDefault="00DC25EE" w:rsidP="00DC25EE">
      <w:pPr>
        <w:pStyle w:val="ListParagraph"/>
        <w:numPr>
          <w:ilvl w:val="0"/>
          <w:numId w:val="49"/>
        </w:numPr>
        <w:ind w:left="850" w:hanging="425"/>
        <w:contextualSpacing w:val="0"/>
        <w:jc w:val="both"/>
      </w:pPr>
      <w:r>
        <w:t>Sign off by the LEP’s legal advisers of a satisfactory State Aid opinion from the applicant’s legal advisers.</w:t>
      </w:r>
    </w:p>
    <w:p w14:paraId="29F2298C" w14:textId="3E2A7AA9" w:rsidR="007868BF" w:rsidRDefault="007868BF">
      <w:r>
        <w:br w:type="page"/>
      </w:r>
    </w:p>
    <w:p w14:paraId="3E5176D0" w14:textId="3300C7C5" w:rsidR="007868BF" w:rsidRPr="007868BF" w:rsidRDefault="007868BF" w:rsidP="007868BF">
      <w:pPr>
        <w:rPr>
          <w:rFonts w:asciiTheme="minorHAnsi" w:hAnsiTheme="minorHAnsi" w:cstheme="minorHAnsi"/>
          <w:b/>
          <w:bCs/>
          <w:sz w:val="32"/>
          <w:szCs w:val="32"/>
        </w:rPr>
      </w:pPr>
      <w:r w:rsidRPr="007868BF">
        <w:rPr>
          <w:rFonts w:asciiTheme="minorHAnsi" w:hAnsiTheme="minorHAnsi" w:cstheme="minorHAnsi"/>
          <w:b/>
          <w:bCs/>
          <w:sz w:val="32"/>
          <w:szCs w:val="32"/>
        </w:rPr>
        <w:lastRenderedPageBreak/>
        <w:t>Appendix A: Investment Term Sheet</w:t>
      </w:r>
    </w:p>
    <w:tbl>
      <w:tblPr>
        <w:tblStyle w:val="TableGrid"/>
        <w:tblW w:w="0" w:type="auto"/>
        <w:tblInd w:w="-5" w:type="dxa"/>
        <w:tblLook w:val="04A0" w:firstRow="1" w:lastRow="0" w:firstColumn="1" w:lastColumn="0" w:noHBand="0" w:noVBand="1"/>
      </w:tblPr>
      <w:tblGrid>
        <w:gridCol w:w="3119"/>
        <w:gridCol w:w="6520"/>
      </w:tblGrid>
      <w:tr w:rsidR="007868BF" w:rsidRPr="007764B4" w14:paraId="3849A4E4" w14:textId="77777777" w:rsidTr="007764B4">
        <w:tc>
          <w:tcPr>
            <w:tcW w:w="3119" w:type="dxa"/>
          </w:tcPr>
          <w:p w14:paraId="5647E978"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Recipient:</w:t>
            </w:r>
          </w:p>
        </w:tc>
        <w:tc>
          <w:tcPr>
            <w:tcW w:w="6520" w:type="dxa"/>
          </w:tcPr>
          <w:p w14:paraId="1FD48D9E" w14:textId="0393348C" w:rsidR="007868BF" w:rsidRPr="007764B4" w:rsidRDefault="00A85D5E" w:rsidP="008E7D61">
            <w:pPr>
              <w:rPr>
                <w:sz w:val="20"/>
                <w:szCs w:val="20"/>
              </w:rPr>
            </w:pPr>
            <w:r>
              <w:rPr>
                <w:sz w:val="20"/>
                <w:szCs w:val="20"/>
              </w:rPr>
              <w:t>Alderley Park Limited</w:t>
            </w:r>
          </w:p>
        </w:tc>
      </w:tr>
      <w:tr w:rsidR="007868BF" w:rsidRPr="007764B4" w14:paraId="28464AC9" w14:textId="77777777" w:rsidTr="007764B4">
        <w:tc>
          <w:tcPr>
            <w:tcW w:w="3119" w:type="dxa"/>
          </w:tcPr>
          <w:p w14:paraId="7C478508"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Project Name:</w:t>
            </w:r>
          </w:p>
        </w:tc>
        <w:tc>
          <w:tcPr>
            <w:tcW w:w="6520" w:type="dxa"/>
          </w:tcPr>
          <w:p w14:paraId="5EC78BAD" w14:textId="7E94D5B2" w:rsidR="007868BF" w:rsidRPr="007764B4" w:rsidRDefault="00A85D5E" w:rsidP="008E7D61">
            <w:pPr>
              <w:rPr>
                <w:sz w:val="20"/>
                <w:szCs w:val="20"/>
              </w:rPr>
            </w:pPr>
            <w:r>
              <w:rPr>
                <w:sz w:val="20"/>
                <w:szCs w:val="20"/>
              </w:rPr>
              <w:t>Block 22 and Blocks 23-24</w:t>
            </w:r>
          </w:p>
        </w:tc>
      </w:tr>
      <w:tr w:rsidR="007868BF" w:rsidRPr="007764B4" w14:paraId="165365D4" w14:textId="77777777" w:rsidTr="007764B4">
        <w:tc>
          <w:tcPr>
            <w:tcW w:w="3119" w:type="dxa"/>
          </w:tcPr>
          <w:p w14:paraId="2BAFB9D1"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Amount of Investment:</w:t>
            </w:r>
          </w:p>
        </w:tc>
        <w:tc>
          <w:tcPr>
            <w:tcW w:w="6520" w:type="dxa"/>
          </w:tcPr>
          <w:p w14:paraId="0F7854A1" w14:textId="56F3DE92" w:rsidR="007868BF" w:rsidRPr="007764B4" w:rsidRDefault="007868BF" w:rsidP="008E7D61">
            <w:pPr>
              <w:rPr>
                <w:sz w:val="20"/>
                <w:szCs w:val="20"/>
              </w:rPr>
            </w:pPr>
            <w:r w:rsidRPr="007764B4">
              <w:rPr>
                <w:sz w:val="20"/>
                <w:szCs w:val="20"/>
              </w:rPr>
              <w:t>£</w:t>
            </w:r>
            <w:r w:rsidR="00A85D5E">
              <w:rPr>
                <w:sz w:val="20"/>
                <w:szCs w:val="20"/>
              </w:rPr>
              <w:t>4,000,000</w:t>
            </w:r>
          </w:p>
        </w:tc>
      </w:tr>
      <w:tr w:rsidR="007868BF" w:rsidRPr="007764B4" w14:paraId="5941E0EF" w14:textId="77777777" w:rsidTr="007764B4">
        <w:tc>
          <w:tcPr>
            <w:tcW w:w="3119" w:type="dxa"/>
          </w:tcPr>
          <w:p w14:paraId="1876387B"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Purpose:</w:t>
            </w:r>
          </w:p>
        </w:tc>
        <w:tc>
          <w:tcPr>
            <w:tcW w:w="6520" w:type="dxa"/>
          </w:tcPr>
          <w:p w14:paraId="0A617E95" w14:textId="0864C717" w:rsidR="007868BF" w:rsidRPr="007764B4" w:rsidRDefault="007868BF" w:rsidP="008E7D61">
            <w:pPr>
              <w:rPr>
                <w:sz w:val="20"/>
                <w:szCs w:val="20"/>
              </w:rPr>
            </w:pPr>
            <w:r w:rsidRPr="007764B4">
              <w:rPr>
                <w:sz w:val="20"/>
                <w:szCs w:val="20"/>
              </w:rPr>
              <w:t xml:space="preserve">Development of </w:t>
            </w:r>
            <w:r w:rsidR="00A85D5E" w:rsidRPr="00A85D5E">
              <w:rPr>
                <w:sz w:val="20"/>
                <w:szCs w:val="20"/>
              </w:rPr>
              <w:t>9,011 sqm (c.97,000 sq ft) of refurbished laboratory space</w:t>
            </w:r>
            <w:r w:rsidR="00A85D5E">
              <w:rPr>
                <w:sz w:val="20"/>
                <w:szCs w:val="20"/>
              </w:rPr>
              <w:t xml:space="preserve"> and </w:t>
            </w:r>
            <w:r w:rsidR="00A85D5E" w:rsidRPr="00A85D5E">
              <w:rPr>
                <w:sz w:val="20"/>
                <w:szCs w:val="20"/>
              </w:rPr>
              <w:t xml:space="preserve">a new 2,247 space multi-storey car park (MSCP) </w:t>
            </w:r>
            <w:r w:rsidR="00A85D5E">
              <w:rPr>
                <w:sz w:val="20"/>
                <w:szCs w:val="20"/>
              </w:rPr>
              <w:t>at Alderley Park</w:t>
            </w:r>
            <w:r w:rsidRPr="007764B4">
              <w:rPr>
                <w:sz w:val="20"/>
                <w:szCs w:val="20"/>
              </w:rPr>
              <w:t>.</w:t>
            </w:r>
          </w:p>
        </w:tc>
      </w:tr>
      <w:tr w:rsidR="007868BF" w:rsidRPr="007764B4" w14:paraId="0AC12BF2" w14:textId="77777777" w:rsidTr="007764B4">
        <w:tc>
          <w:tcPr>
            <w:tcW w:w="3119" w:type="dxa"/>
          </w:tcPr>
          <w:p w14:paraId="4F5F239D"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Funding:</w:t>
            </w:r>
          </w:p>
        </w:tc>
        <w:tc>
          <w:tcPr>
            <w:tcW w:w="6520" w:type="dxa"/>
          </w:tcPr>
          <w:p w14:paraId="0FE6225E" w14:textId="77777777" w:rsidR="007868BF" w:rsidRPr="007764B4" w:rsidRDefault="007868BF" w:rsidP="008E7D61">
            <w:pPr>
              <w:rPr>
                <w:sz w:val="20"/>
                <w:szCs w:val="20"/>
              </w:rPr>
            </w:pPr>
            <w:r w:rsidRPr="007764B4">
              <w:rPr>
                <w:sz w:val="20"/>
                <w:szCs w:val="20"/>
              </w:rPr>
              <w:t>Local Authority Borrowing</w:t>
            </w:r>
          </w:p>
        </w:tc>
      </w:tr>
      <w:tr w:rsidR="007868BF" w:rsidRPr="007764B4" w14:paraId="3ABEB43C" w14:textId="77777777" w:rsidTr="007764B4">
        <w:tc>
          <w:tcPr>
            <w:tcW w:w="3119" w:type="dxa"/>
          </w:tcPr>
          <w:p w14:paraId="2FBF9471"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Repayment:</w:t>
            </w:r>
          </w:p>
        </w:tc>
        <w:tc>
          <w:tcPr>
            <w:tcW w:w="6520" w:type="dxa"/>
          </w:tcPr>
          <w:p w14:paraId="63AE8F5C" w14:textId="77777777" w:rsidR="007868BF" w:rsidRPr="007764B4" w:rsidRDefault="007868BF" w:rsidP="008E7D61">
            <w:pPr>
              <w:rPr>
                <w:sz w:val="20"/>
                <w:szCs w:val="20"/>
              </w:rPr>
            </w:pPr>
            <w:r w:rsidRPr="007764B4">
              <w:rPr>
                <w:sz w:val="20"/>
                <w:szCs w:val="20"/>
              </w:rPr>
              <w:t>From Enterprise Zone Retained Business Rates in connection with the Project, with a restriction on the Recipient utilising any rate mitigation schemes.</w:t>
            </w:r>
          </w:p>
        </w:tc>
      </w:tr>
      <w:tr w:rsidR="007868BF" w:rsidRPr="007764B4" w14:paraId="05C0D405" w14:textId="77777777" w:rsidTr="007764B4">
        <w:tc>
          <w:tcPr>
            <w:tcW w:w="3119" w:type="dxa"/>
          </w:tcPr>
          <w:p w14:paraId="41152648"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Length of time site must be maintained to Approved Use:</w:t>
            </w:r>
          </w:p>
        </w:tc>
        <w:tc>
          <w:tcPr>
            <w:tcW w:w="6520" w:type="dxa"/>
          </w:tcPr>
          <w:p w14:paraId="636A72BE" w14:textId="77777777" w:rsidR="007868BF" w:rsidRPr="007764B4" w:rsidRDefault="007868BF" w:rsidP="008E7D61">
            <w:pPr>
              <w:rPr>
                <w:sz w:val="20"/>
                <w:szCs w:val="20"/>
              </w:rPr>
            </w:pPr>
            <w:r w:rsidRPr="007764B4">
              <w:rPr>
                <w:sz w:val="20"/>
                <w:szCs w:val="20"/>
              </w:rPr>
              <w:t>10 years</w:t>
            </w:r>
          </w:p>
        </w:tc>
      </w:tr>
      <w:tr w:rsidR="007868BF" w:rsidRPr="007764B4" w14:paraId="1A24BB91" w14:textId="77777777" w:rsidTr="007764B4">
        <w:tc>
          <w:tcPr>
            <w:tcW w:w="3119" w:type="dxa"/>
          </w:tcPr>
          <w:p w14:paraId="519273FF"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Key Milestones:</w:t>
            </w:r>
          </w:p>
        </w:tc>
        <w:tc>
          <w:tcPr>
            <w:tcW w:w="6520" w:type="dxa"/>
          </w:tcPr>
          <w:p w14:paraId="7A78CF9B" w14:textId="77777777" w:rsidR="007868BF" w:rsidRPr="007764B4" w:rsidRDefault="007868BF" w:rsidP="008E7D61">
            <w:pPr>
              <w:rPr>
                <w:sz w:val="20"/>
                <w:szCs w:val="20"/>
              </w:rPr>
            </w:pPr>
            <w:r w:rsidRPr="007764B4">
              <w:rPr>
                <w:sz w:val="20"/>
                <w:szCs w:val="20"/>
              </w:rPr>
              <w:t>The Recipient is obliged to adhere to the following key milestones within the project:</w:t>
            </w:r>
          </w:p>
          <w:p w14:paraId="07C16293" w14:textId="77777777" w:rsidR="007868BF" w:rsidRPr="007764B4" w:rsidRDefault="007868BF" w:rsidP="007868BF">
            <w:pPr>
              <w:pStyle w:val="ListParagraph"/>
              <w:numPr>
                <w:ilvl w:val="0"/>
                <w:numId w:val="44"/>
              </w:numPr>
              <w:ind w:left="320" w:hanging="320"/>
              <w:jc w:val="both"/>
              <w:rPr>
                <w:sz w:val="20"/>
                <w:szCs w:val="20"/>
              </w:rPr>
            </w:pPr>
            <w:r w:rsidRPr="007764B4">
              <w:rPr>
                <w:sz w:val="20"/>
                <w:szCs w:val="20"/>
              </w:rPr>
              <w:t>Longstop start date within 12 months (i.e. drawdown of first claim)</w:t>
            </w:r>
          </w:p>
          <w:p w14:paraId="20EF5F38" w14:textId="77777777" w:rsidR="007868BF" w:rsidRPr="007764B4" w:rsidRDefault="007868BF" w:rsidP="007868BF">
            <w:pPr>
              <w:pStyle w:val="ListParagraph"/>
              <w:numPr>
                <w:ilvl w:val="0"/>
                <w:numId w:val="44"/>
              </w:numPr>
              <w:ind w:left="320" w:hanging="320"/>
              <w:jc w:val="both"/>
              <w:rPr>
                <w:sz w:val="20"/>
                <w:szCs w:val="20"/>
              </w:rPr>
            </w:pPr>
            <w:r w:rsidRPr="007764B4">
              <w:rPr>
                <w:sz w:val="20"/>
                <w:szCs w:val="20"/>
              </w:rPr>
              <w:t>Practical Completion within 3 years of start date</w:t>
            </w:r>
          </w:p>
        </w:tc>
      </w:tr>
      <w:tr w:rsidR="007868BF" w:rsidRPr="007764B4" w14:paraId="777CBDE5" w14:textId="77777777" w:rsidTr="007764B4">
        <w:tc>
          <w:tcPr>
            <w:tcW w:w="3119" w:type="dxa"/>
          </w:tcPr>
          <w:p w14:paraId="0E3C6373"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Draw Down of the Claim:</w:t>
            </w:r>
          </w:p>
        </w:tc>
        <w:tc>
          <w:tcPr>
            <w:tcW w:w="6520" w:type="dxa"/>
          </w:tcPr>
          <w:p w14:paraId="15566E7E" w14:textId="594B3BB4" w:rsidR="008E5417" w:rsidRDefault="00D61792" w:rsidP="00A85D5E">
            <w:pPr>
              <w:jc w:val="both"/>
              <w:rPr>
                <w:sz w:val="20"/>
                <w:szCs w:val="20"/>
              </w:rPr>
            </w:pPr>
            <w:r>
              <w:rPr>
                <w:sz w:val="20"/>
                <w:szCs w:val="20"/>
              </w:rPr>
              <w:t>Retrospective m</w:t>
            </w:r>
            <w:r w:rsidR="00A85D5E" w:rsidRPr="00A85D5E">
              <w:rPr>
                <w:sz w:val="20"/>
                <w:szCs w:val="20"/>
              </w:rPr>
              <w:t>onthly</w:t>
            </w:r>
            <w:r>
              <w:rPr>
                <w:sz w:val="20"/>
                <w:szCs w:val="20"/>
              </w:rPr>
              <w:t>/quarterly</w:t>
            </w:r>
            <w:r w:rsidR="00A85D5E" w:rsidRPr="00A85D5E">
              <w:rPr>
                <w:sz w:val="20"/>
                <w:szCs w:val="20"/>
              </w:rPr>
              <w:t xml:space="preserve"> claims up to the agreed Investment level, against various pre-conditions, including: </w:t>
            </w:r>
          </w:p>
          <w:p w14:paraId="04EB98DA" w14:textId="77777777" w:rsidR="008E5417" w:rsidRPr="008E5417" w:rsidRDefault="00A85D5E" w:rsidP="008E5417">
            <w:pPr>
              <w:pStyle w:val="ListParagraph"/>
              <w:numPr>
                <w:ilvl w:val="0"/>
                <w:numId w:val="50"/>
              </w:numPr>
              <w:ind w:left="321" w:hanging="283"/>
              <w:jc w:val="both"/>
              <w:rPr>
                <w:sz w:val="20"/>
                <w:szCs w:val="20"/>
              </w:rPr>
            </w:pPr>
            <w:r w:rsidRPr="008E5417">
              <w:rPr>
                <w:sz w:val="20"/>
                <w:szCs w:val="20"/>
              </w:rPr>
              <w:t>Funder satisfaction with Project Costs at letting of construction contract</w:t>
            </w:r>
          </w:p>
          <w:p w14:paraId="2B52B0B0" w14:textId="77777777" w:rsidR="008E5417" w:rsidRPr="008E5417" w:rsidRDefault="00A85D5E" w:rsidP="008E5417">
            <w:pPr>
              <w:pStyle w:val="ListParagraph"/>
              <w:numPr>
                <w:ilvl w:val="0"/>
                <w:numId w:val="50"/>
              </w:numPr>
              <w:ind w:left="321" w:hanging="283"/>
              <w:jc w:val="both"/>
              <w:rPr>
                <w:sz w:val="20"/>
                <w:szCs w:val="20"/>
              </w:rPr>
            </w:pPr>
            <w:r w:rsidRPr="008E5417">
              <w:rPr>
                <w:sz w:val="20"/>
                <w:szCs w:val="20"/>
              </w:rPr>
              <w:t>Funder satisfaction of the State Aid position</w:t>
            </w:r>
          </w:p>
          <w:p w14:paraId="506D6897" w14:textId="77777777" w:rsidR="008E5417" w:rsidRPr="008E5417" w:rsidRDefault="00A85D5E" w:rsidP="008E5417">
            <w:pPr>
              <w:pStyle w:val="ListParagraph"/>
              <w:numPr>
                <w:ilvl w:val="0"/>
                <w:numId w:val="50"/>
              </w:numPr>
              <w:ind w:left="321" w:hanging="283"/>
              <w:jc w:val="both"/>
              <w:rPr>
                <w:sz w:val="20"/>
                <w:szCs w:val="20"/>
              </w:rPr>
            </w:pPr>
            <w:r w:rsidRPr="008E5417">
              <w:rPr>
                <w:sz w:val="20"/>
                <w:szCs w:val="20"/>
              </w:rPr>
              <w:t>Funder satisfaction with any third party funding</w:t>
            </w:r>
          </w:p>
          <w:p w14:paraId="7C1560AB" w14:textId="77777777" w:rsidR="008E5417" w:rsidRPr="008E5417" w:rsidRDefault="00A85D5E" w:rsidP="008E5417">
            <w:pPr>
              <w:pStyle w:val="ListParagraph"/>
              <w:numPr>
                <w:ilvl w:val="0"/>
                <w:numId w:val="50"/>
              </w:numPr>
              <w:ind w:left="321" w:hanging="283"/>
              <w:jc w:val="both"/>
              <w:rPr>
                <w:sz w:val="20"/>
                <w:szCs w:val="20"/>
              </w:rPr>
            </w:pPr>
            <w:r w:rsidRPr="008E5417">
              <w:rPr>
                <w:sz w:val="20"/>
                <w:szCs w:val="20"/>
              </w:rPr>
              <w:t>Recipient has obtained the necessary consents</w:t>
            </w:r>
          </w:p>
          <w:p w14:paraId="58B6CA53" w14:textId="7D8F434A" w:rsidR="007868BF" w:rsidRPr="008E5417" w:rsidRDefault="00A85D5E" w:rsidP="008E5417">
            <w:pPr>
              <w:pStyle w:val="ListParagraph"/>
              <w:numPr>
                <w:ilvl w:val="0"/>
                <w:numId w:val="50"/>
              </w:numPr>
              <w:ind w:left="321" w:hanging="283"/>
              <w:jc w:val="both"/>
              <w:rPr>
                <w:sz w:val="20"/>
                <w:szCs w:val="20"/>
              </w:rPr>
            </w:pPr>
            <w:r w:rsidRPr="008E5417">
              <w:rPr>
                <w:sz w:val="20"/>
                <w:szCs w:val="20"/>
              </w:rPr>
              <w:t>Funder satisfaction with the form of guarantee</w:t>
            </w:r>
          </w:p>
        </w:tc>
      </w:tr>
      <w:tr w:rsidR="007868BF" w:rsidRPr="007764B4" w14:paraId="29465EC6" w14:textId="77777777" w:rsidTr="007764B4">
        <w:tc>
          <w:tcPr>
            <w:tcW w:w="3119" w:type="dxa"/>
          </w:tcPr>
          <w:p w14:paraId="078E020A"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Overage:</w:t>
            </w:r>
          </w:p>
        </w:tc>
        <w:tc>
          <w:tcPr>
            <w:tcW w:w="6520" w:type="dxa"/>
          </w:tcPr>
          <w:p w14:paraId="6DF0F93F" w14:textId="77777777" w:rsidR="007868BF" w:rsidRPr="007764B4" w:rsidRDefault="007868BF" w:rsidP="008E7D61">
            <w:pPr>
              <w:rPr>
                <w:sz w:val="20"/>
                <w:szCs w:val="20"/>
              </w:rPr>
            </w:pPr>
            <w:r w:rsidRPr="007764B4">
              <w:rPr>
                <w:sz w:val="20"/>
                <w:szCs w:val="20"/>
              </w:rPr>
              <w:t>An overage payment is payable by the Recipient, which is calculated on the sale price or an independent valuation at an agreed calculation date as follows:</w:t>
            </w:r>
          </w:p>
          <w:p w14:paraId="5096C7E4"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Parties agreed project costs</w:t>
            </w:r>
          </w:p>
          <w:p w14:paraId="437F6625"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Parties agreed priority return to investor of 25%</w:t>
            </w:r>
          </w:p>
          <w:p w14:paraId="097E7E00"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The Funder then achieves 50% of the Overall Surplus after those deductions.</w:t>
            </w:r>
          </w:p>
          <w:p w14:paraId="54B47055" w14:textId="5ACE534C" w:rsidR="007868BF" w:rsidRPr="007764B4" w:rsidRDefault="007868BF" w:rsidP="007868BF">
            <w:pPr>
              <w:pStyle w:val="ListParagraph"/>
              <w:numPr>
                <w:ilvl w:val="0"/>
                <w:numId w:val="46"/>
              </w:numPr>
              <w:ind w:left="321" w:hanging="321"/>
              <w:jc w:val="both"/>
              <w:rPr>
                <w:sz w:val="20"/>
                <w:szCs w:val="20"/>
              </w:rPr>
            </w:pPr>
            <w:r w:rsidRPr="007764B4">
              <w:rPr>
                <w:sz w:val="20"/>
                <w:szCs w:val="20"/>
              </w:rPr>
              <w:t xml:space="preserve">Overage is payable on the earlier of Disposal </w:t>
            </w:r>
            <w:r w:rsidR="008E5417">
              <w:rPr>
                <w:sz w:val="20"/>
                <w:szCs w:val="20"/>
              </w:rPr>
              <w:t xml:space="preserve">or </w:t>
            </w:r>
            <w:r w:rsidRPr="007764B4">
              <w:rPr>
                <w:sz w:val="20"/>
                <w:szCs w:val="20"/>
              </w:rPr>
              <w:t>at the end of the investment period.</w:t>
            </w:r>
          </w:p>
        </w:tc>
      </w:tr>
      <w:tr w:rsidR="007868BF" w:rsidRPr="007764B4" w14:paraId="1824EE49" w14:textId="77777777" w:rsidTr="007764B4">
        <w:tc>
          <w:tcPr>
            <w:tcW w:w="3119" w:type="dxa"/>
          </w:tcPr>
          <w:p w14:paraId="0BAE8901"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Permitted Changes:</w:t>
            </w:r>
          </w:p>
        </w:tc>
        <w:tc>
          <w:tcPr>
            <w:tcW w:w="6520" w:type="dxa"/>
          </w:tcPr>
          <w:p w14:paraId="41CAB23F" w14:textId="77777777" w:rsidR="007868BF" w:rsidRPr="007764B4" w:rsidRDefault="007868BF" w:rsidP="008E7D61">
            <w:pPr>
              <w:rPr>
                <w:sz w:val="20"/>
                <w:szCs w:val="20"/>
              </w:rPr>
            </w:pPr>
            <w:r w:rsidRPr="007764B4">
              <w:rPr>
                <w:sz w:val="20"/>
                <w:szCs w:val="20"/>
              </w:rPr>
              <w:t>Any and all changes must be approved by the Funder via a Project Change Form.</w:t>
            </w:r>
          </w:p>
        </w:tc>
      </w:tr>
      <w:tr w:rsidR="007868BF" w:rsidRPr="007764B4" w14:paraId="7FC261CB" w14:textId="77777777" w:rsidTr="007764B4">
        <w:tc>
          <w:tcPr>
            <w:tcW w:w="3119" w:type="dxa"/>
          </w:tcPr>
          <w:p w14:paraId="5BD6205D"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Permitted Disposal:</w:t>
            </w:r>
          </w:p>
        </w:tc>
        <w:tc>
          <w:tcPr>
            <w:tcW w:w="6520" w:type="dxa"/>
          </w:tcPr>
          <w:p w14:paraId="40A47251" w14:textId="77777777" w:rsidR="007868BF" w:rsidRPr="007764B4" w:rsidRDefault="007868BF" w:rsidP="008E7D61">
            <w:pPr>
              <w:rPr>
                <w:sz w:val="20"/>
                <w:szCs w:val="20"/>
              </w:rPr>
            </w:pPr>
            <w:r w:rsidRPr="007764B4">
              <w:rPr>
                <w:sz w:val="20"/>
                <w:szCs w:val="20"/>
              </w:rPr>
              <w:t>The Recipient the right to dispose of part of/the site without triggering the overage clause for leases under 35 years</w:t>
            </w:r>
          </w:p>
        </w:tc>
      </w:tr>
      <w:tr w:rsidR="007868BF" w:rsidRPr="007764B4" w14:paraId="11F26100" w14:textId="77777777" w:rsidTr="007764B4">
        <w:tc>
          <w:tcPr>
            <w:tcW w:w="3119" w:type="dxa"/>
          </w:tcPr>
          <w:p w14:paraId="5F2E96D0"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Security:</w:t>
            </w:r>
          </w:p>
        </w:tc>
        <w:tc>
          <w:tcPr>
            <w:tcW w:w="6520" w:type="dxa"/>
          </w:tcPr>
          <w:p w14:paraId="195CA353" w14:textId="420C1887" w:rsidR="007868BF" w:rsidRPr="007764B4" w:rsidRDefault="00D61792" w:rsidP="008E7D61">
            <w:pPr>
              <w:rPr>
                <w:sz w:val="20"/>
                <w:szCs w:val="20"/>
              </w:rPr>
            </w:pPr>
            <w:r w:rsidRPr="00D61792">
              <w:rPr>
                <w:sz w:val="20"/>
                <w:szCs w:val="20"/>
              </w:rPr>
              <w:t xml:space="preserve">A guarantee is to be provided by Bruntwood </w:t>
            </w:r>
            <w:r>
              <w:rPr>
                <w:sz w:val="20"/>
                <w:szCs w:val="20"/>
              </w:rPr>
              <w:t>Sci-Tech Limited</w:t>
            </w:r>
            <w:r w:rsidRPr="00D61792">
              <w:rPr>
                <w:sz w:val="20"/>
                <w:szCs w:val="20"/>
              </w:rPr>
              <w:t>.</w:t>
            </w:r>
          </w:p>
        </w:tc>
      </w:tr>
      <w:tr w:rsidR="007868BF" w:rsidRPr="007764B4" w14:paraId="227DB63B" w14:textId="77777777" w:rsidTr="007764B4">
        <w:tc>
          <w:tcPr>
            <w:tcW w:w="3119" w:type="dxa"/>
          </w:tcPr>
          <w:p w14:paraId="1A7FF92C"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Events of Default/Clawback:</w:t>
            </w:r>
          </w:p>
        </w:tc>
        <w:tc>
          <w:tcPr>
            <w:tcW w:w="6520" w:type="dxa"/>
          </w:tcPr>
          <w:p w14:paraId="3A86BAFE" w14:textId="77777777" w:rsidR="007868BF" w:rsidRPr="007764B4" w:rsidRDefault="007868BF" w:rsidP="008E7D61">
            <w:pPr>
              <w:rPr>
                <w:sz w:val="20"/>
                <w:szCs w:val="20"/>
              </w:rPr>
            </w:pPr>
            <w:r w:rsidRPr="007764B4">
              <w:rPr>
                <w:sz w:val="20"/>
                <w:szCs w:val="20"/>
              </w:rPr>
              <w:t>The Recipient will be required to repay the monies in the following events:</w:t>
            </w:r>
          </w:p>
          <w:p w14:paraId="5DC069FA" w14:textId="77777777" w:rsidR="007868BF" w:rsidRPr="007764B4" w:rsidRDefault="007868BF" w:rsidP="008E7D61">
            <w:pPr>
              <w:rPr>
                <w:sz w:val="20"/>
                <w:szCs w:val="20"/>
              </w:rPr>
            </w:pPr>
            <w:r w:rsidRPr="007764B4">
              <w:rPr>
                <w:sz w:val="20"/>
                <w:szCs w:val="20"/>
              </w:rPr>
              <w:t>(a) Any finding of State Aid breach</w:t>
            </w:r>
          </w:p>
          <w:p w14:paraId="39AE9581" w14:textId="77777777" w:rsidR="007868BF" w:rsidRPr="007764B4" w:rsidRDefault="007868BF" w:rsidP="008E7D61">
            <w:pPr>
              <w:rPr>
                <w:sz w:val="20"/>
                <w:szCs w:val="20"/>
              </w:rPr>
            </w:pPr>
            <w:r w:rsidRPr="007764B4">
              <w:rPr>
                <w:sz w:val="20"/>
                <w:szCs w:val="20"/>
              </w:rPr>
              <w:t>(b) Lack of progress towards Milestones and Targets</w:t>
            </w:r>
          </w:p>
          <w:p w14:paraId="79AA4F1A" w14:textId="77777777" w:rsidR="007868BF" w:rsidRPr="007764B4" w:rsidRDefault="007868BF" w:rsidP="008E7D61">
            <w:pPr>
              <w:rPr>
                <w:sz w:val="20"/>
                <w:szCs w:val="20"/>
              </w:rPr>
            </w:pPr>
            <w:r w:rsidRPr="007764B4">
              <w:rPr>
                <w:sz w:val="20"/>
                <w:szCs w:val="20"/>
              </w:rPr>
              <w:t>(c) Material Changes to the Project</w:t>
            </w:r>
          </w:p>
          <w:p w14:paraId="15A97F1A" w14:textId="77777777" w:rsidR="007868BF" w:rsidRPr="007764B4" w:rsidRDefault="007868BF" w:rsidP="008E7D61">
            <w:pPr>
              <w:rPr>
                <w:sz w:val="20"/>
                <w:szCs w:val="20"/>
              </w:rPr>
            </w:pPr>
            <w:r w:rsidRPr="007764B4">
              <w:rPr>
                <w:sz w:val="20"/>
                <w:szCs w:val="20"/>
              </w:rPr>
              <w:t>(d) Usual insolvency provisions</w:t>
            </w:r>
          </w:p>
        </w:tc>
      </w:tr>
      <w:tr w:rsidR="007868BF" w:rsidRPr="007764B4" w14:paraId="364E77CD" w14:textId="77777777" w:rsidTr="007764B4">
        <w:tc>
          <w:tcPr>
            <w:tcW w:w="3119" w:type="dxa"/>
          </w:tcPr>
          <w:p w14:paraId="4BC4A83C"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State Aid:</w:t>
            </w:r>
          </w:p>
        </w:tc>
        <w:tc>
          <w:tcPr>
            <w:tcW w:w="6520" w:type="dxa"/>
          </w:tcPr>
          <w:p w14:paraId="5276E57B" w14:textId="77777777" w:rsidR="007868BF" w:rsidRPr="007764B4" w:rsidRDefault="007868BF" w:rsidP="008E7D61">
            <w:pPr>
              <w:rPr>
                <w:sz w:val="20"/>
                <w:szCs w:val="20"/>
              </w:rPr>
            </w:pPr>
            <w:r w:rsidRPr="007764B4">
              <w:rPr>
                <w:sz w:val="20"/>
                <w:szCs w:val="20"/>
              </w:rPr>
              <w:t>The Recipient is responsible for ensuring that the Project is provided in accordance with State Aid Law.</w:t>
            </w:r>
          </w:p>
        </w:tc>
      </w:tr>
      <w:tr w:rsidR="007868BF" w:rsidRPr="007764B4" w14:paraId="5A3D16B4" w14:textId="77777777" w:rsidTr="007764B4">
        <w:tc>
          <w:tcPr>
            <w:tcW w:w="3119" w:type="dxa"/>
          </w:tcPr>
          <w:p w14:paraId="7B56BE53"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Monitoring:</w:t>
            </w:r>
          </w:p>
        </w:tc>
        <w:tc>
          <w:tcPr>
            <w:tcW w:w="6520" w:type="dxa"/>
          </w:tcPr>
          <w:p w14:paraId="49D06199" w14:textId="45A647E3" w:rsidR="007868BF" w:rsidRPr="007764B4" w:rsidRDefault="00D61792" w:rsidP="008E7D61">
            <w:pPr>
              <w:rPr>
                <w:sz w:val="20"/>
                <w:szCs w:val="20"/>
              </w:rPr>
            </w:pPr>
            <w:r w:rsidRPr="00D61792">
              <w:rPr>
                <w:sz w:val="20"/>
                <w:szCs w:val="20"/>
              </w:rPr>
              <w:t>Recipient to submit monthly monitoring returns with any investment claims until the end of the Investment Period, after which they will submit an annual monitoring return for the remaining Project Duration (10-years).</w:t>
            </w:r>
          </w:p>
        </w:tc>
      </w:tr>
      <w:tr w:rsidR="007868BF" w:rsidRPr="007764B4" w14:paraId="1E932343" w14:textId="77777777" w:rsidTr="007764B4">
        <w:tc>
          <w:tcPr>
            <w:tcW w:w="3119" w:type="dxa"/>
          </w:tcPr>
          <w:p w14:paraId="749CD559" w14:textId="77777777" w:rsidR="007868BF" w:rsidRPr="007764B4" w:rsidRDefault="007868BF" w:rsidP="008E7D61">
            <w:pPr>
              <w:rPr>
                <w:rFonts w:asciiTheme="minorHAnsi" w:hAnsiTheme="minorHAnsi" w:cstheme="minorHAnsi"/>
                <w:b/>
                <w:sz w:val="20"/>
                <w:szCs w:val="20"/>
              </w:rPr>
            </w:pPr>
            <w:r w:rsidRPr="007764B4">
              <w:rPr>
                <w:rFonts w:asciiTheme="minorHAnsi" w:hAnsiTheme="minorHAnsi" w:cstheme="minorHAnsi"/>
                <w:b/>
                <w:sz w:val="20"/>
                <w:szCs w:val="20"/>
              </w:rPr>
              <w:t>Boilerplate:</w:t>
            </w:r>
          </w:p>
        </w:tc>
        <w:tc>
          <w:tcPr>
            <w:tcW w:w="6520" w:type="dxa"/>
          </w:tcPr>
          <w:p w14:paraId="3FB1AEFE" w14:textId="77777777" w:rsidR="007868BF" w:rsidRPr="007764B4" w:rsidRDefault="007868BF" w:rsidP="008E7D61">
            <w:pPr>
              <w:rPr>
                <w:sz w:val="20"/>
                <w:szCs w:val="20"/>
              </w:rPr>
            </w:pPr>
            <w:r w:rsidRPr="007764B4">
              <w:rPr>
                <w:sz w:val="20"/>
                <w:szCs w:val="20"/>
              </w:rPr>
              <w:t>The document contains the usual provisions and protections regarding Freedom of Information, Bribery Act and Confidentiality for this form of transaction.</w:t>
            </w:r>
          </w:p>
        </w:tc>
      </w:tr>
    </w:tbl>
    <w:p w14:paraId="7EB06B13" w14:textId="77777777" w:rsidR="00FD4CBE" w:rsidRDefault="00FD4CBE" w:rsidP="00CA4CAF">
      <w:pPr>
        <w:ind w:left="426"/>
        <w:jc w:val="both"/>
      </w:pPr>
    </w:p>
    <w:sectPr w:rsidR="00FD4CBE" w:rsidSect="00C50A24">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C629" w14:textId="77777777" w:rsidR="008E5417" w:rsidRDefault="008E5417" w:rsidP="00EE092D">
      <w:pPr>
        <w:spacing w:after="0" w:line="240" w:lineRule="auto"/>
      </w:pPr>
      <w:r>
        <w:separator/>
      </w:r>
    </w:p>
  </w:endnote>
  <w:endnote w:type="continuationSeparator" w:id="0">
    <w:p w14:paraId="6F0BD4EC" w14:textId="77777777" w:rsidR="008E5417" w:rsidRDefault="008E5417" w:rsidP="00EE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690710"/>
      <w:docPartObj>
        <w:docPartGallery w:val="Page Numbers (Bottom of Page)"/>
        <w:docPartUnique/>
      </w:docPartObj>
    </w:sdtPr>
    <w:sdtEndPr/>
    <w:sdtContent>
      <w:sdt>
        <w:sdtPr>
          <w:id w:val="1728636285"/>
          <w:docPartObj>
            <w:docPartGallery w:val="Page Numbers (Top of Page)"/>
            <w:docPartUnique/>
          </w:docPartObj>
        </w:sdtPr>
        <w:sdtEndPr/>
        <w:sdtContent>
          <w:p w14:paraId="5830F0CA" w14:textId="52D5EE45" w:rsidR="008E5417" w:rsidRPr="00B76EAA" w:rsidRDefault="008E5417">
            <w:pPr>
              <w:pStyle w:val="Footer"/>
              <w:jc w:val="center"/>
            </w:pPr>
            <w:r w:rsidRPr="00B76EAA">
              <w:t xml:space="preserve">Page </w:t>
            </w:r>
            <w:r w:rsidRPr="00B76EAA">
              <w:rPr>
                <w:bCs/>
                <w:sz w:val="24"/>
                <w:szCs w:val="24"/>
              </w:rPr>
            </w:r>
            <w:r w:rsidRPr="00B76EAA">
              <w:rPr>
                <w:bCs/>
              </w:rPr>
              <w:instrText xml:space="preserve"/>
            </w:r>
            <w:r w:rsidRPr="00B76EAA">
              <w:rPr>
                <w:bCs/>
                <w:sz w:val="24"/>
                <w:szCs w:val="24"/>
              </w:rPr>
            </w:r>
            <w:r w:rsidRPr="00B76EAA">
              <w:rPr>
                <w:bCs/>
                <w:noProof/>
              </w:rPr>
              <w:t>2</w:t>
            </w:r>
            <w:r w:rsidRPr="00B76EAA">
              <w:rPr>
                <w:bCs/>
                <w:sz w:val="24"/>
                <w:szCs w:val="24"/>
              </w:rPr>
            </w:r>
            <w:r w:rsidRPr="00B76EAA">
              <w:t xml:space="preserve"> of </w:t>
            </w:r>
            <w:r w:rsidRPr="00B76EAA">
              <w:rPr>
                <w:bCs/>
                <w:sz w:val="24"/>
                <w:szCs w:val="24"/>
              </w:rPr>
            </w:r>
            <w:r w:rsidRPr="00B76EAA">
              <w:rPr>
                <w:bCs/>
              </w:rPr>
              <w:instrText xml:space="preserve"/>
            </w:r>
            <w:r w:rsidRPr="00B76EAA">
              <w:rPr>
                <w:bCs/>
                <w:sz w:val="24"/>
                <w:szCs w:val="24"/>
              </w:rPr>
            </w:r>
            <w:r w:rsidRPr="00B76EAA">
              <w:rPr>
                <w:bCs/>
                <w:noProof/>
              </w:rPr>
              <w:t>2</w:t>
            </w:r>
            <w:r w:rsidRPr="00B76EAA">
              <w:rPr>
                <w:bCs/>
                <w:sz w:val="24"/>
                <w:szCs w:val="24"/>
              </w:rPr>
            </w:r>
          </w:p>
        </w:sdtContent>
      </w:sdt>
    </w:sdtContent>
  </w:sdt>
  <w:p w14:paraId="5ABA7A01" w14:textId="77777777" w:rsidR="008E5417" w:rsidRPr="00B76EAA" w:rsidRDefault="008E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A71C" w14:textId="77777777" w:rsidR="008E5417" w:rsidRDefault="008E5417" w:rsidP="00EE092D">
      <w:pPr>
        <w:spacing w:after="0" w:line="240" w:lineRule="auto"/>
      </w:pPr>
      <w:r>
        <w:separator/>
      </w:r>
    </w:p>
  </w:footnote>
  <w:footnote w:type="continuationSeparator" w:id="0">
    <w:p w14:paraId="3070931B" w14:textId="77777777" w:rsidR="008E5417" w:rsidRDefault="008E5417" w:rsidP="00EE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7FB5" w14:textId="322C54E1" w:rsidR="008E5417" w:rsidRDefault="008E5417">
    <w:pPr>
      <w:pStyle w:val="Header"/>
    </w:pPr>
    <w:r>
      <w:rPr>
        <w:noProof/>
        <w:lang w:eastAsia="en-GB"/>
      </w:rPr>
      <w:drawing>
        <wp:anchor distT="0" distB="0" distL="114300" distR="114300" simplePos="0" relativeHeight="251659264" behindDoc="0" locked="0" layoutInCell="1" allowOverlap="1" wp14:anchorId="69C11BCB" wp14:editId="71031D79">
          <wp:simplePos x="0" y="0"/>
          <wp:positionH relativeFrom="page">
            <wp:posOffset>2505710</wp:posOffset>
          </wp:positionH>
          <wp:positionV relativeFrom="paragraph">
            <wp:posOffset>-154305</wp:posOffset>
          </wp:positionV>
          <wp:extent cx="2479040" cy="12338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12338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F99F" w14:textId="2D6EBBB6" w:rsidR="008E5417" w:rsidRDefault="008E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C6C"/>
    <w:multiLevelType w:val="hybridMultilevel"/>
    <w:tmpl w:val="658628F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E77DD6"/>
    <w:multiLevelType w:val="hybridMultilevel"/>
    <w:tmpl w:val="9B28C772"/>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B3DAB"/>
    <w:multiLevelType w:val="hybridMultilevel"/>
    <w:tmpl w:val="268669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A1235"/>
    <w:multiLevelType w:val="hybridMultilevel"/>
    <w:tmpl w:val="6CE2B02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4273BE"/>
    <w:multiLevelType w:val="hybridMultilevel"/>
    <w:tmpl w:val="005E5A4A"/>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5" w15:restartNumberingAfterBreak="0">
    <w:nsid w:val="086253E8"/>
    <w:multiLevelType w:val="hybridMultilevel"/>
    <w:tmpl w:val="591A9688"/>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26A35"/>
    <w:multiLevelType w:val="hybridMultilevel"/>
    <w:tmpl w:val="65FA9A7A"/>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BE800DA"/>
    <w:multiLevelType w:val="hybridMultilevel"/>
    <w:tmpl w:val="40B8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43057"/>
    <w:multiLevelType w:val="hybridMultilevel"/>
    <w:tmpl w:val="573E527C"/>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7FD0585"/>
    <w:multiLevelType w:val="hybridMultilevel"/>
    <w:tmpl w:val="7BB094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653B93"/>
    <w:multiLevelType w:val="hybridMultilevel"/>
    <w:tmpl w:val="BB7049E8"/>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203B2555"/>
    <w:multiLevelType w:val="hybridMultilevel"/>
    <w:tmpl w:val="F068484A"/>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E3CF5"/>
    <w:multiLevelType w:val="hybridMultilevel"/>
    <w:tmpl w:val="A9CA5A1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3F778F6"/>
    <w:multiLevelType w:val="hybridMultilevel"/>
    <w:tmpl w:val="6B18E7A0"/>
    <w:lvl w:ilvl="0" w:tplc="D63C50DA">
      <w:start w:val="1"/>
      <w:numFmt w:val="lowerLetter"/>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2FA927EF"/>
    <w:multiLevelType w:val="hybridMultilevel"/>
    <w:tmpl w:val="8B8291E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0FA1139"/>
    <w:multiLevelType w:val="hybridMultilevel"/>
    <w:tmpl w:val="EABA65DE"/>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1781154"/>
    <w:multiLevelType w:val="hybridMultilevel"/>
    <w:tmpl w:val="0F6C1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E1695"/>
    <w:multiLevelType w:val="hybridMultilevel"/>
    <w:tmpl w:val="2CD8B1CE"/>
    <w:lvl w:ilvl="0" w:tplc="8FF0654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4CC27A3"/>
    <w:multiLevelType w:val="hybridMultilevel"/>
    <w:tmpl w:val="5780588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36B633B8"/>
    <w:multiLevelType w:val="hybridMultilevel"/>
    <w:tmpl w:val="9EEA2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4BD6"/>
    <w:multiLevelType w:val="hybridMultilevel"/>
    <w:tmpl w:val="9C9A6598"/>
    <w:lvl w:ilvl="0" w:tplc="521A382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A494CB8"/>
    <w:multiLevelType w:val="hybridMultilevel"/>
    <w:tmpl w:val="C66E067E"/>
    <w:lvl w:ilvl="0" w:tplc="08090005">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2" w15:restartNumberingAfterBreak="0">
    <w:nsid w:val="3CD57578"/>
    <w:multiLevelType w:val="hybridMultilevel"/>
    <w:tmpl w:val="BC5EEF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5F258E"/>
    <w:multiLevelType w:val="hybridMultilevel"/>
    <w:tmpl w:val="1F208210"/>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24" w15:restartNumberingAfterBreak="0">
    <w:nsid w:val="3EDA6E59"/>
    <w:multiLevelType w:val="hybridMultilevel"/>
    <w:tmpl w:val="FB964D46"/>
    <w:lvl w:ilvl="0" w:tplc="DD34D6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42142"/>
    <w:multiLevelType w:val="hybridMultilevel"/>
    <w:tmpl w:val="0C42A75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41A53A0"/>
    <w:multiLevelType w:val="hybridMultilevel"/>
    <w:tmpl w:val="F20C4F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82004F"/>
    <w:multiLevelType w:val="hybridMultilevel"/>
    <w:tmpl w:val="1774FDC6"/>
    <w:lvl w:ilvl="0" w:tplc="F712118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47E71DC2"/>
    <w:multiLevelType w:val="hybridMultilevel"/>
    <w:tmpl w:val="A4A82E0E"/>
    <w:lvl w:ilvl="0" w:tplc="DD34D69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9F864E2"/>
    <w:multiLevelType w:val="hybridMultilevel"/>
    <w:tmpl w:val="E03025BC"/>
    <w:lvl w:ilvl="0" w:tplc="DD34D6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12378"/>
    <w:multiLevelType w:val="hybridMultilevel"/>
    <w:tmpl w:val="B9D6BB4C"/>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1" w15:restartNumberingAfterBreak="0">
    <w:nsid w:val="4F9010F8"/>
    <w:multiLevelType w:val="hybridMultilevel"/>
    <w:tmpl w:val="13E8ECF2"/>
    <w:lvl w:ilvl="0" w:tplc="F1D2C996">
      <w:numFmt w:val="bullet"/>
      <w:lvlText w:val=""/>
      <w:lvlJc w:val="left"/>
      <w:pPr>
        <w:ind w:left="720" w:hanging="360"/>
      </w:pPr>
      <w:rPr>
        <w:rFonts w:ascii="Symbol" w:eastAsiaTheme="minorHAnsi" w:hAnsi="Symbol" w:cs="DI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07A67"/>
    <w:multiLevelType w:val="hybridMultilevel"/>
    <w:tmpl w:val="39A4C9D2"/>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3564252"/>
    <w:multiLevelType w:val="hybridMultilevel"/>
    <w:tmpl w:val="32646C04"/>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34" w15:restartNumberingAfterBreak="0">
    <w:nsid w:val="55707BFB"/>
    <w:multiLevelType w:val="hybridMultilevel"/>
    <w:tmpl w:val="84F8A6F0"/>
    <w:lvl w:ilvl="0" w:tplc="F7121182">
      <w:start w:val="1"/>
      <w:numFmt w:val="lowerLetter"/>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5A5D6EDF"/>
    <w:multiLevelType w:val="hybridMultilevel"/>
    <w:tmpl w:val="B16287D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C6551C2"/>
    <w:multiLevelType w:val="hybridMultilevel"/>
    <w:tmpl w:val="6B96F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53DEF"/>
    <w:multiLevelType w:val="hybridMultilevel"/>
    <w:tmpl w:val="8BF0FE0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1F121CC"/>
    <w:multiLevelType w:val="hybridMultilevel"/>
    <w:tmpl w:val="B8B0DB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2C467E"/>
    <w:multiLevelType w:val="hybridMultilevel"/>
    <w:tmpl w:val="48787562"/>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4F66DEC"/>
    <w:multiLevelType w:val="hybridMultilevel"/>
    <w:tmpl w:val="4E8CC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C968C2"/>
    <w:multiLevelType w:val="hybridMultilevel"/>
    <w:tmpl w:val="6C94E862"/>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D273188"/>
    <w:multiLevelType w:val="hybridMultilevel"/>
    <w:tmpl w:val="74F447C6"/>
    <w:lvl w:ilvl="0" w:tplc="F712118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6D6870BF"/>
    <w:multiLevelType w:val="hybridMultilevel"/>
    <w:tmpl w:val="1E82BB14"/>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4" w15:restartNumberingAfterBreak="0">
    <w:nsid w:val="732F2B33"/>
    <w:multiLevelType w:val="hybridMultilevel"/>
    <w:tmpl w:val="0158EC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D32417"/>
    <w:multiLevelType w:val="hybridMultilevel"/>
    <w:tmpl w:val="8536FAF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56747D0"/>
    <w:multiLevelType w:val="hybridMultilevel"/>
    <w:tmpl w:val="0706DA40"/>
    <w:lvl w:ilvl="0" w:tplc="28BE4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B57265"/>
    <w:multiLevelType w:val="hybridMultilevel"/>
    <w:tmpl w:val="D5F2224A"/>
    <w:lvl w:ilvl="0" w:tplc="F712118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8" w15:restartNumberingAfterBreak="0">
    <w:nsid w:val="797A0D58"/>
    <w:multiLevelType w:val="hybridMultilevel"/>
    <w:tmpl w:val="D020EEBC"/>
    <w:lvl w:ilvl="0" w:tplc="9D82F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53D3C"/>
    <w:multiLevelType w:val="hybridMultilevel"/>
    <w:tmpl w:val="2F74E2FC"/>
    <w:lvl w:ilvl="0" w:tplc="C3A0644C">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num w:numId="1">
    <w:abstractNumId w:val="22"/>
  </w:num>
  <w:num w:numId="2">
    <w:abstractNumId w:val="38"/>
  </w:num>
  <w:num w:numId="3">
    <w:abstractNumId w:val="31"/>
  </w:num>
  <w:num w:numId="4">
    <w:abstractNumId w:val="26"/>
  </w:num>
  <w:num w:numId="5">
    <w:abstractNumId w:val="44"/>
  </w:num>
  <w:num w:numId="6">
    <w:abstractNumId w:val="19"/>
  </w:num>
  <w:num w:numId="7">
    <w:abstractNumId w:val="2"/>
  </w:num>
  <w:num w:numId="8">
    <w:abstractNumId w:val="16"/>
  </w:num>
  <w:num w:numId="9">
    <w:abstractNumId w:val="40"/>
  </w:num>
  <w:num w:numId="10">
    <w:abstractNumId w:val="10"/>
  </w:num>
  <w:num w:numId="11">
    <w:abstractNumId w:val="43"/>
  </w:num>
  <w:num w:numId="12">
    <w:abstractNumId w:val="30"/>
  </w:num>
  <w:num w:numId="13">
    <w:abstractNumId w:val="32"/>
  </w:num>
  <w:num w:numId="14">
    <w:abstractNumId w:val="15"/>
  </w:num>
  <w:num w:numId="15">
    <w:abstractNumId w:val="9"/>
  </w:num>
  <w:num w:numId="16">
    <w:abstractNumId w:val="18"/>
  </w:num>
  <w:num w:numId="17">
    <w:abstractNumId w:val="45"/>
  </w:num>
  <w:num w:numId="18">
    <w:abstractNumId w:val="0"/>
  </w:num>
  <w:num w:numId="19">
    <w:abstractNumId w:val="8"/>
  </w:num>
  <w:num w:numId="20">
    <w:abstractNumId w:val="35"/>
  </w:num>
  <w:num w:numId="21">
    <w:abstractNumId w:val="41"/>
  </w:num>
  <w:num w:numId="22">
    <w:abstractNumId w:val="14"/>
  </w:num>
  <w:num w:numId="23">
    <w:abstractNumId w:val="7"/>
  </w:num>
  <w:num w:numId="24">
    <w:abstractNumId w:val="3"/>
  </w:num>
  <w:num w:numId="25">
    <w:abstractNumId w:val="6"/>
  </w:num>
  <w:num w:numId="26">
    <w:abstractNumId w:val="17"/>
  </w:num>
  <w:num w:numId="27">
    <w:abstractNumId w:val="46"/>
  </w:num>
  <w:num w:numId="28">
    <w:abstractNumId w:val="39"/>
  </w:num>
  <w:num w:numId="29">
    <w:abstractNumId w:val="34"/>
  </w:num>
  <w:num w:numId="30">
    <w:abstractNumId w:val="36"/>
  </w:num>
  <w:num w:numId="31">
    <w:abstractNumId w:val="13"/>
  </w:num>
  <w:num w:numId="32">
    <w:abstractNumId w:val="47"/>
  </w:num>
  <w:num w:numId="33">
    <w:abstractNumId w:val="48"/>
  </w:num>
  <w:num w:numId="34">
    <w:abstractNumId w:val="21"/>
  </w:num>
  <w:num w:numId="35">
    <w:abstractNumId w:val="33"/>
  </w:num>
  <w:num w:numId="36">
    <w:abstractNumId w:val="49"/>
  </w:num>
  <w:num w:numId="37">
    <w:abstractNumId w:val="25"/>
  </w:num>
  <w:num w:numId="38">
    <w:abstractNumId w:val="23"/>
  </w:num>
  <w:num w:numId="39">
    <w:abstractNumId w:val="37"/>
  </w:num>
  <w:num w:numId="40">
    <w:abstractNumId w:val="12"/>
  </w:num>
  <w:num w:numId="41">
    <w:abstractNumId w:val="20"/>
  </w:num>
  <w:num w:numId="42">
    <w:abstractNumId w:val="4"/>
  </w:num>
  <w:num w:numId="43">
    <w:abstractNumId w:val="11"/>
  </w:num>
  <w:num w:numId="44">
    <w:abstractNumId w:val="24"/>
  </w:num>
  <w:num w:numId="45">
    <w:abstractNumId w:val="1"/>
  </w:num>
  <w:num w:numId="46">
    <w:abstractNumId w:val="5"/>
  </w:num>
  <w:num w:numId="47">
    <w:abstractNumId w:val="27"/>
  </w:num>
  <w:num w:numId="48">
    <w:abstractNumId w:val="42"/>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61"/>
    <w:rsid w:val="0000088D"/>
    <w:rsid w:val="0000346B"/>
    <w:rsid w:val="00003872"/>
    <w:rsid w:val="000055BF"/>
    <w:rsid w:val="00015809"/>
    <w:rsid w:val="000448D1"/>
    <w:rsid w:val="00047D22"/>
    <w:rsid w:val="0005064C"/>
    <w:rsid w:val="0005153B"/>
    <w:rsid w:val="000578B2"/>
    <w:rsid w:val="000627E8"/>
    <w:rsid w:val="00091329"/>
    <w:rsid w:val="000B281E"/>
    <w:rsid w:val="000C234A"/>
    <w:rsid w:val="000D76BF"/>
    <w:rsid w:val="000F10CE"/>
    <w:rsid w:val="000F174D"/>
    <w:rsid w:val="000F7C30"/>
    <w:rsid w:val="00122F2B"/>
    <w:rsid w:val="00133AA9"/>
    <w:rsid w:val="001366D1"/>
    <w:rsid w:val="00147308"/>
    <w:rsid w:val="00157B34"/>
    <w:rsid w:val="00184C06"/>
    <w:rsid w:val="00190371"/>
    <w:rsid w:val="00191B67"/>
    <w:rsid w:val="0019602F"/>
    <w:rsid w:val="001A3D6C"/>
    <w:rsid w:val="001A5DD0"/>
    <w:rsid w:val="001A5EC3"/>
    <w:rsid w:val="001B03A7"/>
    <w:rsid w:val="001B7871"/>
    <w:rsid w:val="001C5D14"/>
    <w:rsid w:val="001C5FB7"/>
    <w:rsid w:val="001C6119"/>
    <w:rsid w:val="001E041C"/>
    <w:rsid w:val="001E2F2B"/>
    <w:rsid w:val="001F7416"/>
    <w:rsid w:val="002074DB"/>
    <w:rsid w:val="00213192"/>
    <w:rsid w:val="002474C4"/>
    <w:rsid w:val="00266EFD"/>
    <w:rsid w:val="00267988"/>
    <w:rsid w:val="00270AFF"/>
    <w:rsid w:val="00275875"/>
    <w:rsid w:val="0029666D"/>
    <w:rsid w:val="002A0E93"/>
    <w:rsid w:val="002A7D3C"/>
    <w:rsid w:val="002B61C2"/>
    <w:rsid w:val="002D6429"/>
    <w:rsid w:val="002D7E0B"/>
    <w:rsid w:val="002F18A1"/>
    <w:rsid w:val="002F6DD4"/>
    <w:rsid w:val="002F72F0"/>
    <w:rsid w:val="00316783"/>
    <w:rsid w:val="00347FB8"/>
    <w:rsid w:val="00355727"/>
    <w:rsid w:val="00387AD7"/>
    <w:rsid w:val="00396B17"/>
    <w:rsid w:val="003A6BA6"/>
    <w:rsid w:val="003B74C8"/>
    <w:rsid w:val="003C0B57"/>
    <w:rsid w:val="003C5CC1"/>
    <w:rsid w:val="003C7534"/>
    <w:rsid w:val="003D1A87"/>
    <w:rsid w:val="003E22A6"/>
    <w:rsid w:val="003E499D"/>
    <w:rsid w:val="003E790D"/>
    <w:rsid w:val="004025D0"/>
    <w:rsid w:val="00402AE1"/>
    <w:rsid w:val="0041686D"/>
    <w:rsid w:val="00422D79"/>
    <w:rsid w:val="00434561"/>
    <w:rsid w:val="0044689A"/>
    <w:rsid w:val="00453A9D"/>
    <w:rsid w:val="00484DF4"/>
    <w:rsid w:val="00490E88"/>
    <w:rsid w:val="0049359D"/>
    <w:rsid w:val="004A24DC"/>
    <w:rsid w:val="004C0486"/>
    <w:rsid w:val="004C28DD"/>
    <w:rsid w:val="004C3F43"/>
    <w:rsid w:val="004D7695"/>
    <w:rsid w:val="00502FD6"/>
    <w:rsid w:val="00540BF1"/>
    <w:rsid w:val="00553CBE"/>
    <w:rsid w:val="0055696F"/>
    <w:rsid w:val="0056240C"/>
    <w:rsid w:val="00562DA2"/>
    <w:rsid w:val="00563455"/>
    <w:rsid w:val="005656F3"/>
    <w:rsid w:val="00574A37"/>
    <w:rsid w:val="005758C5"/>
    <w:rsid w:val="0057625F"/>
    <w:rsid w:val="0058398E"/>
    <w:rsid w:val="005C03DD"/>
    <w:rsid w:val="005C1A13"/>
    <w:rsid w:val="005C38A7"/>
    <w:rsid w:val="005D683C"/>
    <w:rsid w:val="005E1AC8"/>
    <w:rsid w:val="005E48D3"/>
    <w:rsid w:val="005E4E08"/>
    <w:rsid w:val="005F2E4C"/>
    <w:rsid w:val="005F3A0F"/>
    <w:rsid w:val="005F4AB6"/>
    <w:rsid w:val="006011F8"/>
    <w:rsid w:val="006015E4"/>
    <w:rsid w:val="006170AA"/>
    <w:rsid w:val="00617E67"/>
    <w:rsid w:val="00625659"/>
    <w:rsid w:val="0062789E"/>
    <w:rsid w:val="006412D2"/>
    <w:rsid w:val="00655C4E"/>
    <w:rsid w:val="006576DA"/>
    <w:rsid w:val="00660809"/>
    <w:rsid w:val="00664106"/>
    <w:rsid w:val="006908E3"/>
    <w:rsid w:val="00694D4E"/>
    <w:rsid w:val="006A0500"/>
    <w:rsid w:val="006B65AE"/>
    <w:rsid w:val="006C1D42"/>
    <w:rsid w:val="00700EB9"/>
    <w:rsid w:val="00730EC3"/>
    <w:rsid w:val="00731569"/>
    <w:rsid w:val="00751FE4"/>
    <w:rsid w:val="00770D47"/>
    <w:rsid w:val="00774AC6"/>
    <w:rsid w:val="007764B4"/>
    <w:rsid w:val="00782638"/>
    <w:rsid w:val="007868BF"/>
    <w:rsid w:val="00790C57"/>
    <w:rsid w:val="007961BE"/>
    <w:rsid w:val="007B3C29"/>
    <w:rsid w:val="007B4EB3"/>
    <w:rsid w:val="007B6959"/>
    <w:rsid w:val="007B6E80"/>
    <w:rsid w:val="007C454C"/>
    <w:rsid w:val="007D13D0"/>
    <w:rsid w:val="00805D3D"/>
    <w:rsid w:val="008106E3"/>
    <w:rsid w:val="008122E7"/>
    <w:rsid w:val="00817110"/>
    <w:rsid w:val="00836678"/>
    <w:rsid w:val="008431FF"/>
    <w:rsid w:val="0084524D"/>
    <w:rsid w:val="00853D08"/>
    <w:rsid w:val="00855CDE"/>
    <w:rsid w:val="008725FE"/>
    <w:rsid w:val="0088400A"/>
    <w:rsid w:val="008907E6"/>
    <w:rsid w:val="00894D73"/>
    <w:rsid w:val="008B1E2A"/>
    <w:rsid w:val="008B7E88"/>
    <w:rsid w:val="008C7636"/>
    <w:rsid w:val="008C770C"/>
    <w:rsid w:val="008D04AA"/>
    <w:rsid w:val="008E40B0"/>
    <w:rsid w:val="008E5417"/>
    <w:rsid w:val="008E7D61"/>
    <w:rsid w:val="00906B00"/>
    <w:rsid w:val="00910DD6"/>
    <w:rsid w:val="009127A0"/>
    <w:rsid w:val="00913DC8"/>
    <w:rsid w:val="0092242A"/>
    <w:rsid w:val="009253FD"/>
    <w:rsid w:val="009403DE"/>
    <w:rsid w:val="00945167"/>
    <w:rsid w:val="00947600"/>
    <w:rsid w:val="00953960"/>
    <w:rsid w:val="0095552F"/>
    <w:rsid w:val="009724EC"/>
    <w:rsid w:val="00974BA6"/>
    <w:rsid w:val="009759A3"/>
    <w:rsid w:val="009805F6"/>
    <w:rsid w:val="00981E24"/>
    <w:rsid w:val="00983512"/>
    <w:rsid w:val="0098393C"/>
    <w:rsid w:val="00996D05"/>
    <w:rsid w:val="009A13AD"/>
    <w:rsid w:val="009B65CB"/>
    <w:rsid w:val="009D0203"/>
    <w:rsid w:val="009D3902"/>
    <w:rsid w:val="009E3561"/>
    <w:rsid w:val="009F62D5"/>
    <w:rsid w:val="009F6B1C"/>
    <w:rsid w:val="00A078B9"/>
    <w:rsid w:val="00A13022"/>
    <w:rsid w:val="00A17E73"/>
    <w:rsid w:val="00A439E2"/>
    <w:rsid w:val="00A45061"/>
    <w:rsid w:val="00A46DFD"/>
    <w:rsid w:val="00A46ED4"/>
    <w:rsid w:val="00A5227B"/>
    <w:rsid w:val="00A74FAE"/>
    <w:rsid w:val="00A758D0"/>
    <w:rsid w:val="00A816FE"/>
    <w:rsid w:val="00A85D5E"/>
    <w:rsid w:val="00A96874"/>
    <w:rsid w:val="00A97E6C"/>
    <w:rsid w:val="00AB7084"/>
    <w:rsid w:val="00AB7316"/>
    <w:rsid w:val="00AB7904"/>
    <w:rsid w:val="00AE246F"/>
    <w:rsid w:val="00B07C7B"/>
    <w:rsid w:val="00B2602F"/>
    <w:rsid w:val="00B37DB6"/>
    <w:rsid w:val="00B50EE4"/>
    <w:rsid w:val="00B51B2D"/>
    <w:rsid w:val="00B76EAA"/>
    <w:rsid w:val="00B93606"/>
    <w:rsid w:val="00BC2327"/>
    <w:rsid w:val="00BC24E1"/>
    <w:rsid w:val="00BC2A75"/>
    <w:rsid w:val="00BD019F"/>
    <w:rsid w:val="00BE53AC"/>
    <w:rsid w:val="00C12664"/>
    <w:rsid w:val="00C1449D"/>
    <w:rsid w:val="00C14C63"/>
    <w:rsid w:val="00C3770D"/>
    <w:rsid w:val="00C463CC"/>
    <w:rsid w:val="00C50A24"/>
    <w:rsid w:val="00C67FA1"/>
    <w:rsid w:val="00C70BC2"/>
    <w:rsid w:val="00C8100A"/>
    <w:rsid w:val="00C81664"/>
    <w:rsid w:val="00CA2C3C"/>
    <w:rsid w:val="00CA4CAF"/>
    <w:rsid w:val="00CB4677"/>
    <w:rsid w:val="00CC209F"/>
    <w:rsid w:val="00CC2D53"/>
    <w:rsid w:val="00CE46F5"/>
    <w:rsid w:val="00D02B53"/>
    <w:rsid w:val="00D30EF5"/>
    <w:rsid w:val="00D32C69"/>
    <w:rsid w:val="00D50D71"/>
    <w:rsid w:val="00D61086"/>
    <w:rsid w:val="00D61792"/>
    <w:rsid w:val="00D720FA"/>
    <w:rsid w:val="00D82618"/>
    <w:rsid w:val="00D92FEA"/>
    <w:rsid w:val="00D937DD"/>
    <w:rsid w:val="00DA2454"/>
    <w:rsid w:val="00DA7BE4"/>
    <w:rsid w:val="00DC25EE"/>
    <w:rsid w:val="00DD11F7"/>
    <w:rsid w:val="00DE5E50"/>
    <w:rsid w:val="00DE6D82"/>
    <w:rsid w:val="00DF08C5"/>
    <w:rsid w:val="00DF562A"/>
    <w:rsid w:val="00E1716C"/>
    <w:rsid w:val="00E277BB"/>
    <w:rsid w:val="00E54D7B"/>
    <w:rsid w:val="00E57293"/>
    <w:rsid w:val="00E86092"/>
    <w:rsid w:val="00EB66E0"/>
    <w:rsid w:val="00EC246D"/>
    <w:rsid w:val="00ED49DB"/>
    <w:rsid w:val="00ED4A3C"/>
    <w:rsid w:val="00ED565F"/>
    <w:rsid w:val="00EE092D"/>
    <w:rsid w:val="00EE5F90"/>
    <w:rsid w:val="00EE6F57"/>
    <w:rsid w:val="00EE7A37"/>
    <w:rsid w:val="00EF125A"/>
    <w:rsid w:val="00F073C7"/>
    <w:rsid w:val="00F156F1"/>
    <w:rsid w:val="00F32026"/>
    <w:rsid w:val="00F32D20"/>
    <w:rsid w:val="00F6379E"/>
    <w:rsid w:val="00F67F78"/>
    <w:rsid w:val="00F776C6"/>
    <w:rsid w:val="00F90A72"/>
    <w:rsid w:val="00FA4473"/>
    <w:rsid w:val="00FA53E5"/>
    <w:rsid w:val="00FB523D"/>
    <w:rsid w:val="00FC33D0"/>
    <w:rsid w:val="00FD4CBE"/>
    <w:rsid w:val="00FE0A4F"/>
    <w:rsid w:val="00FE0BB1"/>
    <w:rsid w:val="00FE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DC467"/>
  <w15:docId w15:val="{6865CB03-2606-4CF9-A163-FA02AEC8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73"/>
    <w:rPr>
      <w:rFonts w:asciiTheme="majorHAnsi" w:hAnsiTheme="majorHAnsi"/>
    </w:rPr>
  </w:style>
  <w:style w:type="paragraph" w:styleId="Heading1">
    <w:name w:val="heading 1"/>
    <w:basedOn w:val="Normal"/>
    <w:next w:val="Normal"/>
    <w:link w:val="Heading1Char"/>
    <w:uiPriority w:val="9"/>
    <w:qFormat/>
    <w:rsid w:val="008725FE"/>
    <w:pPr>
      <w:keepNext/>
      <w:keepLines/>
      <w:spacing w:before="240" w:after="12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872"/>
    <w:rPr>
      <w:color w:val="0563C1" w:themeColor="hyperlink"/>
      <w:u w:val="single"/>
    </w:rPr>
  </w:style>
  <w:style w:type="table" w:styleId="TableGrid">
    <w:name w:val="Table Grid"/>
    <w:basedOn w:val="TableNormal"/>
    <w:uiPriority w:val="39"/>
    <w:rsid w:val="0000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D05"/>
    <w:pPr>
      <w:ind w:left="720"/>
      <w:contextualSpacing/>
    </w:pPr>
  </w:style>
  <w:style w:type="character" w:styleId="PlaceholderText">
    <w:name w:val="Placeholder Text"/>
    <w:basedOn w:val="DefaultParagraphFont"/>
    <w:uiPriority w:val="99"/>
    <w:semiHidden/>
    <w:rsid w:val="001A5EC3"/>
    <w:rPr>
      <w:color w:val="808080"/>
    </w:rPr>
  </w:style>
  <w:style w:type="paragraph" w:styleId="Revision">
    <w:name w:val="Revision"/>
    <w:hidden/>
    <w:uiPriority w:val="99"/>
    <w:semiHidden/>
    <w:rsid w:val="009B65CB"/>
    <w:pPr>
      <w:spacing w:after="0" w:line="240" w:lineRule="auto"/>
    </w:pPr>
  </w:style>
  <w:style w:type="paragraph" w:styleId="BalloonText">
    <w:name w:val="Balloon Text"/>
    <w:basedOn w:val="Normal"/>
    <w:link w:val="BalloonTextChar"/>
    <w:uiPriority w:val="99"/>
    <w:semiHidden/>
    <w:unhideWhenUsed/>
    <w:rsid w:val="009B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CB"/>
    <w:rPr>
      <w:rFonts w:ascii="Segoe UI" w:hAnsi="Segoe UI" w:cs="Segoe UI"/>
      <w:sz w:val="18"/>
      <w:szCs w:val="18"/>
    </w:rPr>
  </w:style>
  <w:style w:type="character" w:styleId="CommentReference">
    <w:name w:val="annotation reference"/>
    <w:basedOn w:val="DefaultParagraphFont"/>
    <w:uiPriority w:val="99"/>
    <w:semiHidden/>
    <w:unhideWhenUsed/>
    <w:rsid w:val="00A816FE"/>
    <w:rPr>
      <w:sz w:val="16"/>
      <w:szCs w:val="16"/>
    </w:rPr>
  </w:style>
  <w:style w:type="paragraph" w:styleId="CommentText">
    <w:name w:val="annotation text"/>
    <w:basedOn w:val="Normal"/>
    <w:link w:val="CommentTextChar"/>
    <w:uiPriority w:val="99"/>
    <w:unhideWhenUsed/>
    <w:rsid w:val="00A816FE"/>
    <w:pPr>
      <w:spacing w:line="240" w:lineRule="auto"/>
    </w:pPr>
    <w:rPr>
      <w:sz w:val="20"/>
      <w:szCs w:val="20"/>
    </w:rPr>
  </w:style>
  <w:style w:type="character" w:customStyle="1" w:styleId="CommentTextChar">
    <w:name w:val="Comment Text Char"/>
    <w:basedOn w:val="DefaultParagraphFont"/>
    <w:link w:val="CommentText"/>
    <w:uiPriority w:val="99"/>
    <w:rsid w:val="00A816FE"/>
    <w:rPr>
      <w:sz w:val="20"/>
      <w:szCs w:val="20"/>
    </w:rPr>
  </w:style>
  <w:style w:type="paragraph" w:styleId="CommentSubject">
    <w:name w:val="annotation subject"/>
    <w:basedOn w:val="CommentText"/>
    <w:next w:val="CommentText"/>
    <w:link w:val="CommentSubjectChar"/>
    <w:uiPriority w:val="99"/>
    <w:semiHidden/>
    <w:unhideWhenUsed/>
    <w:rsid w:val="00A816FE"/>
    <w:rPr>
      <w:b/>
      <w:bCs/>
    </w:rPr>
  </w:style>
  <w:style w:type="character" w:customStyle="1" w:styleId="CommentSubjectChar">
    <w:name w:val="Comment Subject Char"/>
    <w:basedOn w:val="CommentTextChar"/>
    <w:link w:val="CommentSubject"/>
    <w:uiPriority w:val="99"/>
    <w:semiHidden/>
    <w:rsid w:val="00A816FE"/>
    <w:rPr>
      <w:b/>
      <w:bCs/>
      <w:sz w:val="20"/>
      <w:szCs w:val="20"/>
    </w:rPr>
  </w:style>
  <w:style w:type="paragraph" w:customStyle="1" w:styleId="Default">
    <w:name w:val="Default"/>
    <w:rsid w:val="0095552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E0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92D"/>
    <w:rPr>
      <w:sz w:val="20"/>
      <w:szCs w:val="20"/>
    </w:rPr>
  </w:style>
  <w:style w:type="character" w:styleId="FootnoteReference">
    <w:name w:val="footnote reference"/>
    <w:basedOn w:val="DefaultParagraphFont"/>
    <w:uiPriority w:val="99"/>
    <w:semiHidden/>
    <w:unhideWhenUsed/>
    <w:rsid w:val="00EE092D"/>
    <w:rPr>
      <w:vertAlign w:val="superscript"/>
    </w:rPr>
  </w:style>
  <w:style w:type="paragraph" w:styleId="Header">
    <w:name w:val="header"/>
    <w:basedOn w:val="Normal"/>
    <w:link w:val="HeaderChar"/>
    <w:uiPriority w:val="99"/>
    <w:unhideWhenUsed/>
    <w:rsid w:val="00ED5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5F"/>
  </w:style>
  <w:style w:type="paragraph" w:styleId="Footer">
    <w:name w:val="footer"/>
    <w:basedOn w:val="Normal"/>
    <w:link w:val="FooterChar"/>
    <w:uiPriority w:val="99"/>
    <w:unhideWhenUsed/>
    <w:rsid w:val="00ED5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5F"/>
  </w:style>
  <w:style w:type="character" w:styleId="UnresolvedMention">
    <w:name w:val="Unresolved Mention"/>
    <w:basedOn w:val="DefaultParagraphFont"/>
    <w:uiPriority w:val="99"/>
    <w:semiHidden/>
    <w:unhideWhenUsed/>
    <w:rsid w:val="00C50A24"/>
    <w:rPr>
      <w:color w:val="808080"/>
      <w:shd w:val="clear" w:color="auto" w:fill="E6E6E6"/>
    </w:rPr>
  </w:style>
  <w:style w:type="character" w:customStyle="1" w:styleId="Heading1Char">
    <w:name w:val="Heading 1 Char"/>
    <w:basedOn w:val="DefaultParagraphFont"/>
    <w:link w:val="Heading1"/>
    <w:uiPriority w:val="9"/>
    <w:rsid w:val="008725FE"/>
    <w:rPr>
      <w:rFonts w:ascii="Calibri" w:eastAsiaTheme="majorEastAsia" w:hAnsi="Calibri" w:cstheme="majorBidi"/>
      <w:b/>
      <w:szCs w:val="32"/>
    </w:rPr>
  </w:style>
  <w:style w:type="table" w:customStyle="1" w:styleId="TableGrid1">
    <w:name w:val="Table Grid1"/>
    <w:basedOn w:val="TableNormal"/>
    <w:next w:val="TableGrid"/>
    <w:uiPriority w:val="39"/>
    <w:rsid w:val="0027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A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1359-BDB4-47A5-A047-E9DC50BB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Pretty/GBR/DTZ</dc:creator>
  <cp:lastModifiedBy>Ian Brooks</cp:lastModifiedBy>
  <cp:revision>3</cp:revision>
  <cp:lastPrinted>2019-03-15T17:31:00Z</cp:lastPrinted>
  <dcterms:created xsi:type="dcterms:W3CDTF">2020-03-12T11:07:00Z</dcterms:created>
  <dcterms:modified xsi:type="dcterms:W3CDTF">2020-03-12T11:09:00Z</dcterms:modified>
</cp:coreProperties>
</file>