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3B07" w14:textId="3DC9CDF3" w:rsidR="00B77FAD" w:rsidRPr="005A26C5" w:rsidRDefault="00B77FAD" w:rsidP="005A26C5">
      <w:pPr>
        <w:rPr>
          <w:b/>
          <w:bCs/>
          <w:lang w:val="en-GB"/>
        </w:rPr>
      </w:pPr>
    </w:p>
    <w:p w14:paraId="75C96E79" w14:textId="77777777" w:rsidR="00B77FAD" w:rsidRPr="00E0364B" w:rsidRDefault="00B77FAD" w:rsidP="00B77FAD">
      <w:pPr>
        <w:pStyle w:val="ListParagraph"/>
        <w:ind w:left="360"/>
        <w:rPr>
          <w:lang w:val="en-GB"/>
        </w:rPr>
      </w:pPr>
    </w:p>
    <w:p w14:paraId="1D531F70" w14:textId="77777777" w:rsidR="00EE6581" w:rsidRPr="00EE6581" w:rsidRDefault="00EE6581" w:rsidP="00EE6581">
      <w:pPr>
        <w:rPr>
          <w:b/>
          <w:bCs/>
          <w:sz w:val="28"/>
          <w:szCs w:val="28"/>
          <w:lang w:val="en-GB"/>
        </w:rPr>
      </w:pPr>
      <w:r w:rsidRPr="00EE6581">
        <w:rPr>
          <w:b/>
          <w:bCs/>
          <w:sz w:val="28"/>
          <w:szCs w:val="28"/>
          <w:lang w:val="en-GB"/>
        </w:rPr>
        <w:t>Tender Brief: Specialist Legal Support for ECW Pre-Transfer Planning</w:t>
      </w:r>
    </w:p>
    <w:p w14:paraId="18E9C1DD" w14:textId="77777777" w:rsidR="00EE6581" w:rsidRPr="00EE6581" w:rsidRDefault="00EE6581" w:rsidP="00EE6581">
      <w:pPr>
        <w:rPr>
          <w:b/>
          <w:bCs/>
          <w:lang w:val="en-GB"/>
        </w:rPr>
      </w:pPr>
      <w:r w:rsidRPr="00EE6581">
        <w:rPr>
          <w:b/>
          <w:bCs/>
          <w:lang w:val="en-GB"/>
        </w:rPr>
        <w:t>1. Introduction</w:t>
      </w:r>
    </w:p>
    <w:p w14:paraId="3B000B64" w14:textId="6D8B26D5" w:rsidR="005029CD" w:rsidRDefault="00EE6581" w:rsidP="00EE6581">
      <w:pPr>
        <w:rPr>
          <w:lang w:val="en-GB"/>
        </w:rPr>
      </w:pPr>
      <w:r w:rsidRPr="00EE6581">
        <w:rPr>
          <w:lang w:val="en-GB"/>
        </w:rPr>
        <w:t xml:space="preserve">Enterprise Cheshire and Warrington (ECW) is </w:t>
      </w:r>
      <w:r w:rsidR="00F84589">
        <w:rPr>
          <w:lang w:val="en-GB"/>
        </w:rPr>
        <w:t>a company limited by guarantee wholly owned by the three unitary authorities in Cheshire and Warrington</w:t>
      </w:r>
      <w:r w:rsidR="002D5D31">
        <w:rPr>
          <w:lang w:val="en-GB"/>
        </w:rPr>
        <w:t xml:space="preserve">. It was formerly </w:t>
      </w:r>
      <w:r w:rsidR="000503E7">
        <w:rPr>
          <w:lang w:val="en-GB"/>
        </w:rPr>
        <w:t>the Local Enterprise Partnership</w:t>
      </w:r>
      <w:r w:rsidR="00027926">
        <w:rPr>
          <w:lang w:val="en-GB"/>
        </w:rPr>
        <w:t xml:space="preserve"> (LEP)</w:t>
      </w:r>
      <w:r w:rsidR="000503E7">
        <w:rPr>
          <w:lang w:val="en-GB"/>
        </w:rPr>
        <w:t xml:space="preserve"> for the area and brought across its staff, funding role and assets when it transferred to LA ownership in </w:t>
      </w:r>
      <w:r w:rsidR="005029CD">
        <w:rPr>
          <w:lang w:val="en-GB"/>
        </w:rPr>
        <w:t xml:space="preserve">2024. </w:t>
      </w:r>
    </w:p>
    <w:p w14:paraId="13688D12" w14:textId="77777777" w:rsidR="00024478" w:rsidRDefault="005029CD" w:rsidP="00EE6581">
      <w:pPr>
        <w:rPr>
          <w:lang w:val="en-GB"/>
        </w:rPr>
      </w:pPr>
      <w:r>
        <w:rPr>
          <w:lang w:val="en-GB"/>
        </w:rPr>
        <w:t xml:space="preserve">Cheshire and Warrington </w:t>
      </w:r>
      <w:proofErr w:type="gramStart"/>
      <w:r>
        <w:rPr>
          <w:lang w:val="en-GB"/>
        </w:rPr>
        <w:t>is</w:t>
      </w:r>
      <w:proofErr w:type="gramEnd"/>
      <w:r>
        <w:rPr>
          <w:lang w:val="en-GB"/>
        </w:rPr>
        <w:t xml:space="preserve"> part of the Government’s devolution priority programme and will be creating a Combined Authority </w:t>
      </w:r>
      <w:r w:rsidR="00EE6024">
        <w:rPr>
          <w:lang w:val="en-GB"/>
        </w:rPr>
        <w:t xml:space="preserve">for the sub-region in Spring 2026. </w:t>
      </w:r>
      <w:r w:rsidR="001E768E">
        <w:rPr>
          <w:lang w:val="en-GB"/>
        </w:rPr>
        <w:t xml:space="preserve">The Combined Authority will take on </w:t>
      </w:r>
      <w:r w:rsidR="003176DF">
        <w:rPr>
          <w:lang w:val="en-GB"/>
        </w:rPr>
        <w:t>responsibility for the strategic economic development of Cheshire and Warrington</w:t>
      </w:r>
      <w:r w:rsidR="00027926">
        <w:rPr>
          <w:lang w:val="en-GB"/>
        </w:rPr>
        <w:t>, a role formerly undertaken by the LEP and, more recently, ECW</w:t>
      </w:r>
      <w:r w:rsidR="00024478">
        <w:rPr>
          <w:lang w:val="en-GB"/>
        </w:rPr>
        <w:t>.</w:t>
      </w:r>
    </w:p>
    <w:p w14:paraId="5643F359" w14:textId="1FE66B20" w:rsidR="00570C35" w:rsidRDefault="00570C35" w:rsidP="00570C35">
      <w:pPr>
        <w:rPr>
          <w:lang w:val="en-GB"/>
        </w:rPr>
      </w:pPr>
      <w:r w:rsidRPr="00EE6581">
        <w:rPr>
          <w:lang w:val="en-GB"/>
        </w:rPr>
        <w:t xml:space="preserve">With the establishment of a new Combined Authority (CA), it is anticipated that some or all functions currently delivered by ECW and CWTB may transfer either to one or more of the </w:t>
      </w:r>
      <w:r w:rsidR="00A7202C">
        <w:rPr>
          <w:lang w:val="en-GB"/>
        </w:rPr>
        <w:t>sub-region’s l</w:t>
      </w:r>
      <w:r w:rsidRPr="00EE6581">
        <w:rPr>
          <w:lang w:val="en-GB"/>
        </w:rPr>
        <w:t xml:space="preserve">ocal </w:t>
      </w:r>
      <w:r w:rsidR="00A7202C">
        <w:rPr>
          <w:lang w:val="en-GB"/>
        </w:rPr>
        <w:t>a</w:t>
      </w:r>
      <w:r w:rsidRPr="00EE6581">
        <w:rPr>
          <w:lang w:val="en-GB"/>
        </w:rPr>
        <w:t>uthorities</w:t>
      </w:r>
      <w:r w:rsidR="00665A6F">
        <w:rPr>
          <w:lang w:val="en-GB"/>
        </w:rPr>
        <w:t>,</w:t>
      </w:r>
      <w:r w:rsidRPr="00EE6581">
        <w:rPr>
          <w:lang w:val="en-GB"/>
        </w:rPr>
        <w:t xml:space="preserve"> to the CA</w:t>
      </w:r>
      <w:r w:rsidR="00665A6F">
        <w:rPr>
          <w:lang w:val="en-GB"/>
        </w:rPr>
        <w:t xml:space="preserve"> or to another body.</w:t>
      </w:r>
      <w:r w:rsidRPr="00EE6581">
        <w:rPr>
          <w:lang w:val="en-GB"/>
        </w:rPr>
        <w:t xml:space="preserve"> No final decisions have yet been made, and the scope, scale, and nature of any transfer remain under active consideration.</w:t>
      </w:r>
    </w:p>
    <w:p w14:paraId="5ABEFB46" w14:textId="09680384" w:rsidR="00EE6581" w:rsidRPr="00EE6581" w:rsidRDefault="00A7202C" w:rsidP="00EE6581">
      <w:pPr>
        <w:rPr>
          <w:lang w:val="en-GB"/>
        </w:rPr>
      </w:pPr>
      <w:r>
        <w:rPr>
          <w:lang w:val="en-GB"/>
        </w:rPr>
        <w:t>T</w:t>
      </w:r>
      <w:r w:rsidR="00024478">
        <w:rPr>
          <w:lang w:val="en-GB"/>
        </w:rPr>
        <w:t xml:space="preserve">he company is </w:t>
      </w:r>
      <w:r w:rsidR="00EE6581" w:rsidRPr="00EE6581">
        <w:rPr>
          <w:lang w:val="en-GB"/>
        </w:rPr>
        <w:t>seeking to appoint a provider of specialist legal advice to</w:t>
      </w:r>
      <w:r w:rsidR="00F34C42">
        <w:rPr>
          <w:lang w:val="en-GB"/>
        </w:rPr>
        <w:t xml:space="preserve"> help with those discussions, supp</w:t>
      </w:r>
      <w:r w:rsidR="00EE6581" w:rsidRPr="00EE6581">
        <w:rPr>
          <w:lang w:val="en-GB"/>
        </w:rPr>
        <w:t>ort</w:t>
      </w:r>
      <w:r w:rsidR="00F34C42">
        <w:rPr>
          <w:lang w:val="en-GB"/>
        </w:rPr>
        <w:t>ing</w:t>
      </w:r>
      <w:r w:rsidR="00EE6581" w:rsidRPr="00EE6581">
        <w:rPr>
          <w:lang w:val="en-GB"/>
        </w:rPr>
        <w:t xml:space="preserve"> pre-transfer planning and due diligence </w:t>
      </w:r>
      <w:r w:rsidR="00F34C42">
        <w:rPr>
          <w:lang w:val="en-GB"/>
        </w:rPr>
        <w:t>on</w:t>
      </w:r>
      <w:r w:rsidR="00EE6581" w:rsidRPr="00EE6581">
        <w:rPr>
          <w:lang w:val="en-GB"/>
        </w:rPr>
        <w:t xml:space="preserve"> the potential transfer of </w:t>
      </w:r>
      <w:r w:rsidR="00FD0583">
        <w:rPr>
          <w:lang w:val="en-GB"/>
        </w:rPr>
        <w:t xml:space="preserve">some or all of ECW’s </w:t>
      </w:r>
      <w:r w:rsidR="00EE6581" w:rsidRPr="00EE6581">
        <w:rPr>
          <w:lang w:val="en-GB"/>
        </w:rPr>
        <w:t>functions, assets, and responsibilities</w:t>
      </w:r>
      <w:r w:rsidR="00665A6F">
        <w:rPr>
          <w:lang w:val="en-GB"/>
        </w:rPr>
        <w:t>.</w:t>
      </w:r>
      <w:r w:rsidR="00EE6581" w:rsidRPr="00EE6581">
        <w:rPr>
          <w:lang w:val="en-GB"/>
        </w:rPr>
        <w:t xml:space="preserve"> This support will be commissioned through a retainer and call-off contract.</w:t>
      </w:r>
    </w:p>
    <w:p w14:paraId="39D5EC01" w14:textId="226AB23B" w:rsidR="00125A1F" w:rsidRPr="00B5244A" w:rsidRDefault="002C36A3" w:rsidP="00125A1F">
      <w:pPr>
        <w:rPr>
          <w:lang w:val="en-GB"/>
        </w:rPr>
      </w:pPr>
      <w:r>
        <w:rPr>
          <w:lang w:val="en-GB"/>
        </w:rPr>
        <w:t>T</w:t>
      </w:r>
      <w:r w:rsidR="00125A1F" w:rsidRPr="00B5244A">
        <w:rPr>
          <w:lang w:val="en-GB"/>
        </w:rPr>
        <w:t>he appointed provider must be able to advise across a broad spectrum of organisational, corporate, public law, employment, and commercial matters, and respond quickly as the transfer landscape becomes clearer.</w:t>
      </w:r>
    </w:p>
    <w:p w14:paraId="47287DC6" w14:textId="77777777" w:rsidR="00125A1F" w:rsidRDefault="00125A1F" w:rsidP="00125A1F">
      <w:pPr>
        <w:rPr>
          <w:lang w:val="en-GB"/>
        </w:rPr>
      </w:pPr>
      <w:r w:rsidRPr="00EE6581">
        <w:rPr>
          <w:lang w:val="en-GB"/>
        </w:rPr>
        <w:t>This is a low-value procurement, and ECW intends to award a single contract to the bidder offering the most economically advantageous tender.</w:t>
      </w:r>
    </w:p>
    <w:p w14:paraId="0488EB1B" w14:textId="77777777" w:rsidR="00125A1F" w:rsidRPr="00EE6581" w:rsidRDefault="00125A1F" w:rsidP="00EE6581">
      <w:pPr>
        <w:rPr>
          <w:lang w:val="en-GB"/>
        </w:rPr>
      </w:pPr>
    </w:p>
    <w:p w14:paraId="5BF18F45" w14:textId="77777777" w:rsidR="00EE6581" w:rsidRPr="00EE6581" w:rsidRDefault="00EE6581" w:rsidP="00EE6581">
      <w:pPr>
        <w:rPr>
          <w:b/>
          <w:bCs/>
          <w:lang w:val="en-GB"/>
        </w:rPr>
      </w:pPr>
      <w:r w:rsidRPr="00EE6581">
        <w:rPr>
          <w:b/>
          <w:bCs/>
          <w:lang w:val="en-GB"/>
        </w:rPr>
        <w:t>2. Background</w:t>
      </w:r>
    </w:p>
    <w:p w14:paraId="5D122F98" w14:textId="77777777" w:rsidR="00EE6581" w:rsidRPr="00EE6581" w:rsidRDefault="00EE6581" w:rsidP="00EE6581">
      <w:pPr>
        <w:rPr>
          <w:lang w:val="en-GB"/>
        </w:rPr>
      </w:pPr>
      <w:r w:rsidRPr="00EE6581">
        <w:rPr>
          <w:lang w:val="en-GB"/>
        </w:rPr>
        <w:t>ECW is jointly owned by three Local Authorities and is responsible for delivering a broad range of activities supporting sub-regional economic growth. Cheshire &amp; Warrington Tourism Board (CWTB) is a wholly owned subsidiary of ECW and delivers functions aligned with this agenda.</w:t>
      </w:r>
    </w:p>
    <w:p w14:paraId="1BB0FC31" w14:textId="77777777" w:rsidR="005A26C5" w:rsidRPr="00EE6581" w:rsidRDefault="005A26C5" w:rsidP="005A26C5">
      <w:pPr>
        <w:rPr>
          <w:lang w:val="en-GB"/>
        </w:rPr>
      </w:pPr>
      <w:r w:rsidRPr="00EE6581">
        <w:rPr>
          <w:lang w:val="en-GB"/>
        </w:rPr>
        <w:t>ECW has historically delivered the full breadth of the sub-regional economic development agenda. As functions are expected to transfer to the CA or be divided among its Constituent Members, ECW requires legal support that can respond flexibly to a wide range of possible scenarios. These may involve, but are not limited to:</w:t>
      </w:r>
    </w:p>
    <w:p w14:paraId="6FC797E0" w14:textId="77777777" w:rsidR="005A26C5" w:rsidRPr="00EE6581" w:rsidRDefault="005A26C5" w:rsidP="005A26C5">
      <w:pPr>
        <w:numPr>
          <w:ilvl w:val="0"/>
          <w:numId w:val="11"/>
        </w:numPr>
        <w:spacing w:after="0"/>
        <w:rPr>
          <w:lang w:val="en-GB"/>
        </w:rPr>
      </w:pPr>
      <w:r w:rsidRPr="00EE6581">
        <w:rPr>
          <w:lang w:val="en-GB"/>
        </w:rPr>
        <w:lastRenderedPageBreak/>
        <w:t>governance and constitutional implications</w:t>
      </w:r>
    </w:p>
    <w:p w14:paraId="571A4F6E" w14:textId="77777777" w:rsidR="005A26C5" w:rsidRPr="00EE6581" w:rsidRDefault="005A26C5" w:rsidP="005A26C5">
      <w:pPr>
        <w:numPr>
          <w:ilvl w:val="0"/>
          <w:numId w:val="11"/>
        </w:numPr>
        <w:spacing w:after="0"/>
        <w:rPr>
          <w:lang w:val="en-GB"/>
        </w:rPr>
      </w:pPr>
      <w:r w:rsidRPr="00EE6581">
        <w:rPr>
          <w:lang w:val="en-GB"/>
        </w:rPr>
        <w:t>transfer or winding-down of functions</w:t>
      </w:r>
    </w:p>
    <w:p w14:paraId="27660DE6" w14:textId="77777777" w:rsidR="005A26C5" w:rsidRPr="00EE6581" w:rsidRDefault="005A26C5" w:rsidP="005A26C5">
      <w:pPr>
        <w:numPr>
          <w:ilvl w:val="0"/>
          <w:numId w:val="11"/>
        </w:numPr>
        <w:spacing w:after="0"/>
        <w:rPr>
          <w:lang w:val="en-GB"/>
        </w:rPr>
      </w:pPr>
      <w:r w:rsidRPr="00EE6581">
        <w:rPr>
          <w:lang w:val="en-GB"/>
        </w:rPr>
        <w:t>treatment of assets, funding streams, reserved matters, and liabilities</w:t>
      </w:r>
    </w:p>
    <w:p w14:paraId="112FE95B" w14:textId="77777777" w:rsidR="005A26C5" w:rsidRPr="00EE6581" w:rsidRDefault="005A26C5" w:rsidP="005A26C5">
      <w:pPr>
        <w:numPr>
          <w:ilvl w:val="0"/>
          <w:numId w:val="11"/>
        </w:numPr>
        <w:spacing w:after="0"/>
        <w:rPr>
          <w:lang w:val="en-GB"/>
        </w:rPr>
      </w:pPr>
      <w:r w:rsidRPr="00EE6581">
        <w:rPr>
          <w:lang w:val="en-GB"/>
        </w:rPr>
        <w:t>TUPE, staffing, and organisational change considerations</w:t>
      </w:r>
    </w:p>
    <w:p w14:paraId="7617EF65" w14:textId="77777777" w:rsidR="005A26C5" w:rsidRPr="00EE6581" w:rsidRDefault="005A26C5" w:rsidP="005A26C5">
      <w:pPr>
        <w:numPr>
          <w:ilvl w:val="0"/>
          <w:numId w:val="11"/>
        </w:numPr>
        <w:spacing w:after="0"/>
        <w:rPr>
          <w:lang w:val="en-GB"/>
        </w:rPr>
      </w:pPr>
      <w:r w:rsidRPr="00EE6581">
        <w:rPr>
          <w:lang w:val="en-GB"/>
        </w:rPr>
        <w:t>intellectual property, data, digital platforms, and contractual novation</w:t>
      </w:r>
    </w:p>
    <w:p w14:paraId="0F47DD65" w14:textId="77777777" w:rsidR="005A26C5" w:rsidRPr="00EE6581" w:rsidRDefault="005A26C5" w:rsidP="005A26C5">
      <w:pPr>
        <w:numPr>
          <w:ilvl w:val="0"/>
          <w:numId w:val="11"/>
        </w:numPr>
        <w:spacing w:after="0"/>
        <w:rPr>
          <w:lang w:val="en-GB"/>
        </w:rPr>
      </w:pPr>
      <w:r w:rsidRPr="00EE6581">
        <w:rPr>
          <w:lang w:val="en-GB"/>
        </w:rPr>
        <w:t>ongoing projects, grant-funded activities, or programmes with multi-year commitments</w:t>
      </w:r>
    </w:p>
    <w:p w14:paraId="53052E27" w14:textId="77777777" w:rsidR="005A26C5" w:rsidRPr="00EE6581" w:rsidRDefault="005A26C5" w:rsidP="005A26C5">
      <w:pPr>
        <w:numPr>
          <w:ilvl w:val="0"/>
          <w:numId w:val="11"/>
        </w:numPr>
        <w:spacing w:after="0"/>
        <w:rPr>
          <w:lang w:val="en-GB"/>
        </w:rPr>
      </w:pPr>
      <w:r w:rsidRPr="00EE6581">
        <w:rPr>
          <w:lang w:val="en-GB"/>
        </w:rPr>
        <w:t>relationships with subsidiary bodies</w:t>
      </w:r>
    </w:p>
    <w:p w14:paraId="08C86C6E" w14:textId="77777777" w:rsidR="005A26C5" w:rsidRPr="00EE6581" w:rsidRDefault="005A26C5" w:rsidP="005A26C5">
      <w:pPr>
        <w:numPr>
          <w:ilvl w:val="0"/>
          <w:numId w:val="11"/>
        </w:numPr>
        <w:spacing w:after="0"/>
        <w:rPr>
          <w:lang w:val="en-GB"/>
        </w:rPr>
      </w:pPr>
      <w:r w:rsidRPr="00EE6581">
        <w:rPr>
          <w:lang w:val="en-GB"/>
        </w:rPr>
        <w:t>the potential need for transitional arrangements or interim delivery models</w:t>
      </w:r>
    </w:p>
    <w:p w14:paraId="40D3E2CF" w14:textId="0E4CD431" w:rsidR="005A26C5" w:rsidRPr="00EE6581" w:rsidRDefault="005A26C5" w:rsidP="00EE6581">
      <w:pPr>
        <w:rPr>
          <w:lang w:val="en-GB"/>
        </w:rPr>
      </w:pPr>
      <w:r w:rsidRPr="00EE6581">
        <w:rPr>
          <w:lang w:val="en-GB"/>
        </w:rPr>
        <w:t>At this stage, no final decisions have been taken on the structure or scale of any transfer. The options under consideration may evolve as discussions progress with the CA, Constituent Members, and government. As such, ECW may require advice on some, all, or none of the above issues, and on other matters that may emerge.</w:t>
      </w:r>
    </w:p>
    <w:p w14:paraId="52958CF9" w14:textId="7EF5BAD0" w:rsidR="00EE6581" w:rsidRDefault="00EE6581" w:rsidP="00EE6581">
      <w:pPr>
        <w:rPr>
          <w:lang w:val="en-GB"/>
        </w:rPr>
      </w:pPr>
      <w:r w:rsidRPr="00EE6581">
        <w:rPr>
          <w:lang w:val="en-GB"/>
        </w:rPr>
        <w:t xml:space="preserve">ECW </w:t>
      </w:r>
      <w:r w:rsidR="005A26C5">
        <w:rPr>
          <w:lang w:val="en-GB"/>
        </w:rPr>
        <w:t xml:space="preserve">therefore </w:t>
      </w:r>
      <w:r w:rsidRPr="00EE6581">
        <w:rPr>
          <w:lang w:val="en-GB"/>
        </w:rPr>
        <w:t>require access to flexible and responsive legal support to ensure that all pre-transfer activity is legally compliant, risk-managed, and fully documented.</w:t>
      </w:r>
    </w:p>
    <w:p w14:paraId="65AB330A" w14:textId="77777777" w:rsidR="005A26C5" w:rsidRPr="00EE6581" w:rsidRDefault="005A26C5" w:rsidP="00EE6581">
      <w:pPr>
        <w:rPr>
          <w:lang w:val="en-GB"/>
        </w:rPr>
      </w:pPr>
    </w:p>
    <w:p w14:paraId="239934AB" w14:textId="77777777" w:rsidR="00EE6581" w:rsidRPr="00EE6581" w:rsidRDefault="00EE6581" w:rsidP="00EE6581">
      <w:pPr>
        <w:rPr>
          <w:b/>
          <w:bCs/>
          <w:lang w:val="en-GB"/>
        </w:rPr>
      </w:pPr>
      <w:r w:rsidRPr="00EE6581">
        <w:rPr>
          <w:b/>
          <w:bCs/>
          <w:lang w:val="en-GB"/>
        </w:rPr>
        <w:t>3. Scope of Requirement</w:t>
      </w:r>
    </w:p>
    <w:p w14:paraId="47865831" w14:textId="77777777" w:rsidR="00EE6581" w:rsidRPr="00EE6581" w:rsidRDefault="00EE6581" w:rsidP="00EE6581">
      <w:pPr>
        <w:rPr>
          <w:lang w:val="en-GB"/>
        </w:rPr>
      </w:pPr>
      <w:r w:rsidRPr="00EE6581">
        <w:rPr>
          <w:lang w:val="en-GB"/>
        </w:rPr>
        <w:t xml:space="preserve">The appointed provider will be expected to advise ECW across a </w:t>
      </w:r>
      <w:r w:rsidRPr="00EE6581">
        <w:rPr>
          <w:b/>
          <w:bCs/>
          <w:lang w:val="en-GB"/>
        </w:rPr>
        <w:t>wide range of potential issues</w:t>
      </w:r>
      <w:r w:rsidRPr="00EE6581">
        <w:rPr>
          <w:lang w:val="en-GB"/>
        </w:rPr>
        <w:t>, reflecting the uncertainty at this stage regarding the final transfer arrangements. Support may involve, but is not limited to:</w:t>
      </w:r>
    </w:p>
    <w:p w14:paraId="07F22200" w14:textId="77777777" w:rsidR="00EE6581" w:rsidRPr="00EE6581" w:rsidRDefault="00EE6581" w:rsidP="00EE6581">
      <w:pPr>
        <w:rPr>
          <w:b/>
          <w:bCs/>
          <w:lang w:val="en-GB"/>
        </w:rPr>
      </w:pPr>
      <w:r w:rsidRPr="00EE6581">
        <w:rPr>
          <w:b/>
          <w:bCs/>
          <w:lang w:val="en-GB"/>
        </w:rPr>
        <w:t>3.1 Legal &amp; Governance</w:t>
      </w:r>
    </w:p>
    <w:p w14:paraId="6F0F1770" w14:textId="77777777" w:rsidR="00EE6581" w:rsidRPr="00EE6581" w:rsidRDefault="00EE6581" w:rsidP="00EE6581">
      <w:pPr>
        <w:numPr>
          <w:ilvl w:val="0"/>
          <w:numId w:val="12"/>
        </w:numPr>
        <w:rPr>
          <w:lang w:val="en-GB"/>
        </w:rPr>
      </w:pPr>
      <w:r w:rsidRPr="00EE6581">
        <w:rPr>
          <w:lang w:val="en-GB"/>
        </w:rPr>
        <w:t>Corporate structure and constitutional implications</w:t>
      </w:r>
    </w:p>
    <w:p w14:paraId="310321CB" w14:textId="77777777" w:rsidR="00EE6581" w:rsidRPr="00EE6581" w:rsidRDefault="00EE6581" w:rsidP="00EE6581">
      <w:pPr>
        <w:numPr>
          <w:ilvl w:val="0"/>
          <w:numId w:val="12"/>
        </w:numPr>
        <w:rPr>
          <w:lang w:val="en-GB"/>
        </w:rPr>
      </w:pPr>
      <w:r w:rsidRPr="00EE6581">
        <w:rPr>
          <w:lang w:val="en-GB"/>
        </w:rPr>
        <w:t>Options for transfer of functions or assets</w:t>
      </w:r>
    </w:p>
    <w:p w14:paraId="60343732" w14:textId="77777777" w:rsidR="00EE6581" w:rsidRPr="00EE6581" w:rsidRDefault="00EE6581" w:rsidP="00EE6581">
      <w:pPr>
        <w:numPr>
          <w:ilvl w:val="0"/>
          <w:numId w:val="12"/>
        </w:numPr>
        <w:rPr>
          <w:lang w:val="en-GB"/>
        </w:rPr>
      </w:pPr>
      <w:r w:rsidRPr="00EE6581">
        <w:rPr>
          <w:lang w:val="en-GB"/>
        </w:rPr>
        <w:t>Treatment of liabilities, reserves, and ongoing commitments</w:t>
      </w:r>
    </w:p>
    <w:p w14:paraId="4E3659D2" w14:textId="77777777" w:rsidR="00EE6581" w:rsidRDefault="00EE6581" w:rsidP="00EE6581">
      <w:pPr>
        <w:numPr>
          <w:ilvl w:val="0"/>
          <w:numId w:val="12"/>
        </w:numPr>
        <w:rPr>
          <w:lang w:val="en-GB"/>
        </w:rPr>
      </w:pPr>
      <w:r w:rsidRPr="00EE6581">
        <w:rPr>
          <w:lang w:val="en-GB"/>
        </w:rPr>
        <w:t>Support for decision-making processes (local authority and company law)</w:t>
      </w:r>
    </w:p>
    <w:p w14:paraId="2F351F1D" w14:textId="77777777" w:rsidR="00125A1F" w:rsidRDefault="00125A1F" w:rsidP="00EE6581">
      <w:pPr>
        <w:numPr>
          <w:ilvl w:val="0"/>
          <w:numId w:val="12"/>
        </w:numPr>
        <w:rPr>
          <w:lang w:val="en-GB"/>
        </w:rPr>
      </w:pPr>
    </w:p>
    <w:p w14:paraId="1620B345" w14:textId="77777777" w:rsidR="00EE6581" w:rsidRPr="00EE6581" w:rsidRDefault="00EE6581" w:rsidP="00EE6581">
      <w:pPr>
        <w:rPr>
          <w:b/>
          <w:bCs/>
          <w:lang w:val="en-GB"/>
        </w:rPr>
      </w:pPr>
      <w:r w:rsidRPr="00EE6581">
        <w:rPr>
          <w:b/>
          <w:bCs/>
          <w:lang w:val="en-GB"/>
        </w:rPr>
        <w:t>3.2 Assets, Contracts &amp; Funding</w:t>
      </w:r>
    </w:p>
    <w:p w14:paraId="7F8A19B5" w14:textId="77777777" w:rsidR="00EE6581" w:rsidRPr="00EE6581" w:rsidRDefault="00EE6581" w:rsidP="00EE6581">
      <w:pPr>
        <w:numPr>
          <w:ilvl w:val="0"/>
          <w:numId w:val="13"/>
        </w:numPr>
        <w:rPr>
          <w:lang w:val="en-GB"/>
        </w:rPr>
      </w:pPr>
      <w:r w:rsidRPr="00EE6581">
        <w:rPr>
          <w:lang w:val="en-GB"/>
        </w:rPr>
        <w:t>Contract review, variation, assignment, or novation</w:t>
      </w:r>
    </w:p>
    <w:p w14:paraId="70092512" w14:textId="77777777" w:rsidR="00EE6581" w:rsidRPr="00EE6581" w:rsidRDefault="00EE6581" w:rsidP="00EE6581">
      <w:pPr>
        <w:numPr>
          <w:ilvl w:val="0"/>
          <w:numId w:val="13"/>
        </w:numPr>
        <w:rPr>
          <w:lang w:val="en-GB"/>
        </w:rPr>
      </w:pPr>
      <w:r w:rsidRPr="00EE6581">
        <w:rPr>
          <w:lang w:val="en-GB"/>
        </w:rPr>
        <w:t>Treatment of multi-year grant funding and delivery obligations</w:t>
      </w:r>
    </w:p>
    <w:p w14:paraId="29E0082B" w14:textId="77777777" w:rsidR="00EE6581" w:rsidRPr="00EE6581" w:rsidRDefault="00EE6581" w:rsidP="00EE6581">
      <w:pPr>
        <w:numPr>
          <w:ilvl w:val="0"/>
          <w:numId w:val="13"/>
        </w:numPr>
        <w:rPr>
          <w:lang w:val="en-GB"/>
        </w:rPr>
      </w:pPr>
      <w:r w:rsidRPr="00EE6581">
        <w:rPr>
          <w:lang w:val="en-GB"/>
        </w:rPr>
        <w:t>Intellectual property and digital systems</w:t>
      </w:r>
    </w:p>
    <w:p w14:paraId="12A6315D" w14:textId="77777777" w:rsidR="00EE6581" w:rsidRPr="00EE6581" w:rsidRDefault="00EE6581" w:rsidP="00EE6581">
      <w:pPr>
        <w:numPr>
          <w:ilvl w:val="0"/>
          <w:numId w:val="13"/>
        </w:numPr>
        <w:rPr>
          <w:lang w:val="en-GB"/>
        </w:rPr>
      </w:pPr>
      <w:r w:rsidRPr="00EE6581">
        <w:rPr>
          <w:lang w:val="en-GB"/>
        </w:rPr>
        <w:t>Property, leases, and asset transfer considerations</w:t>
      </w:r>
    </w:p>
    <w:p w14:paraId="0CC08B2A" w14:textId="77777777" w:rsidR="00EE6581" w:rsidRPr="00EE6581" w:rsidRDefault="00EE6581" w:rsidP="00EE6581">
      <w:pPr>
        <w:rPr>
          <w:b/>
          <w:bCs/>
          <w:lang w:val="en-GB"/>
        </w:rPr>
      </w:pPr>
      <w:r w:rsidRPr="00EE6581">
        <w:rPr>
          <w:b/>
          <w:bCs/>
          <w:lang w:val="en-GB"/>
        </w:rPr>
        <w:t>3.3 Workforce &amp; HR</w:t>
      </w:r>
    </w:p>
    <w:p w14:paraId="51A77D95" w14:textId="77777777" w:rsidR="00EE6581" w:rsidRPr="00EE6581" w:rsidRDefault="00EE6581" w:rsidP="00EE6581">
      <w:pPr>
        <w:numPr>
          <w:ilvl w:val="0"/>
          <w:numId w:val="14"/>
        </w:numPr>
        <w:rPr>
          <w:lang w:val="en-GB"/>
        </w:rPr>
      </w:pPr>
      <w:r w:rsidRPr="00EE6581">
        <w:rPr>
          <w:lang w:val="en-GB"/>
        </w:rPr>
        <w:t>TUPE considerations</w:t>
      </w:r>
    </w:p>
    <w:p w14:paraId="2189A73B" w14:textId="77777777" w:rsidR="00EE6581" w:rsidRPr="00EE6581" w:rsidRDefault="00EE6581" w:rsidP="00EE6581">
      <w:pPr>
        <w:numPr>
          <w:ilvl w:val="0"/>
          <w:numId w:val="14"/>
        </w:numPr>
        <w:rPr>
          <w:lang w:val="en-GB"/>
        </w:rPr>
      </w:pPr>
      <w:r w:rsidRPr="00EE6581">
        <w:rPr>
          <w:lang w:val="en-GB"/>
        </w:rPr>
        <w:t>Organisational change, staffing implications, and related risks</w:t>
      </w:r>
    </w:p>
    <w:p w14:paraId="38E13DB4" w14:textId="77777777" w:rsidR="00EE6581" w:rsidRPr="00EE6581" w:rsidRDefault="00EE6581" w:rsidP="00EE6581">
      <w:pPr>
        <w:numPr>
          <w:ilvl w:val="0"/>
          <w:numId w:val="14"/>
        </w:numPr>
        <w:rPr>
          <w:lang w:val="en-GB"/>
        </w:rPr>
      </w:pPr>
      <w:r w:rsidRPr="00EE6581">
        <w:rPr>
          <w:lang w:val="en-GB"/>
        </w:rPr>
        <w:lastRenderedPageBreak/>
        <w:t>Transitional staffing arrangements, if required</w:t>
      </w:r>
    </w:p>
    <w:p w14:paraId="3408EFDE" w14:textId="77777777" w:rsidR="00EE6581" w:rsidRPr="00EE6581" w:rsidRDefault="00EE6581" w:rsidP="00EE6581">
      <w:pPr>
        <w:rPr>
          <w:b/>
          <w:bCs/>
          <w:lang w:val="en-GB"/>
        </w:rPr>
      </w:pPr>
      <w:r w:rsidRPr="00EE6581">
        <w:rPr>
          <w:b/>
          <w:bCs/>
          <w:lang w:val="en-GB"/>
        </w:rPr>
        <w:t>3.4 Subsidiaries &amp; Related Entities</w:t>
      </w:r>
    </w:p>
    <w:p w14:paraId="55E6EA71" w14:textId="77777777" w:rsidR="00EE6581" w:rsidRPr="00EE6581" w:rsidRDefault="00EE6581" w:rsidP="00EE6581">
      <w:pPr>
        <w:numPr>
          <w:ilvl w:val="0"/>
          <w:numId w:val="15"/>
        </w:numPr>
        <w:rPr>
          <w:lang w:val="en-GB"/>
        </w:rPr>
      </w:pPr>
      <w:r w:rsidRPr="00EE6581">
        <w:rPr>
          <w:lang w:val="en-GB"/>
        </w:rPr>
        <w:t>Implications for CWTB as a wholly owned subsidiary</w:t>
      </w:r>
    </w:p>
    <w:p w14:paraId="16BCE63E" w14:textId="77777777" w:rsidR="00EE6581" w:rsidRPr="00EE6581" w:rsidRDefault="00EE6581" w:rsidP="00EE6581">
      <w:pPr>
        <w:numPr>
          <w:ilvl w:val="0"/>
          <w:numId w:val="15"/>
        </w:numPr>
        <w:rPr>
          <w:lang w:val="en-GB"/>
        </w:rPr>
      </w:pPr>
      <w:r w:rsidRPr="00EE6581">
        <w:rPr>
          <w:lang w:val="en-GB"/>
        </w:rPr>
        <w:t>Treatment of any joint programmes or shared governance arrangements</w:t>
      </w:r>
    </w:p>
    <w:p w14:paraId="67D98F4B" w14:textId="77777777" w:rsidR="00EE6581" w:rsidRPr="00EE6581" w:rsidRDefault="00EE6581" w:rsidP="00EE6581">
      <w:pPr>
        <w:rPr>
          <w:b/>
          <w:bCs/>
          <w:lang w:val="en-GB"/>
        </w:rPr>
      </w:pPr>
      <w:r w:rsidRPr="00EE6581">
        <w:rPr>
          <w:b/>
          <w:bCs/>
          <w:lang w:val="en-GB"/>
        </w:rPr>
        <w:t>3.5 Emerging and Unforeseen Issues</w:t>
      </w:r>
    </w:p>
    <w:p w14:paraId="205B27FC" w14:textId="77777777" w:rsidR="00EE6581" w:rsidRPr="00EE6581" w:rsidRDefault="00EE6581" w:rsidP="00EE6581">
      <w:pPr>
        <w:rPr>
          <w:lang w:val="en-GB"/>
        </w:rPr>
      </w:pPr>
      <w:r w:rsidRPr="00EE6581">
        <w:rPr>
          <w:lang w:val="en-GB"/>
        </w:rPr>
        <w:t>Given the evolving nature of the CA’s formation, additional areas of legal support may be required where new scenarios emerge.</w:t>
      </w:r>
    </w:p>
    <w:p w14:paraId="6419AC10" w14:textId="77777777" w:rsidR="00EE6581" w:rsidRPr="00EE6581" w:rsidRDefault="00EE6581" w:rsidP="00EE6581">
      <w:pPr>
        <w:rPr>
          <w:lang w:val="en-GB"/>
        </w:rPr>
      </w:pPr>
      <w:r w:rsidRPr="00EE6581">
        <w:rPr>
          <w:lang w:val="en-GB"/>
        </w:rPr>
        <w:t>The provider must therefore be able to supply advice rapidly, handle highly interdependent issues, and respond in a way that supports ECW’s need for clarity, legal assurance, and appropriate risk management.</w:t>
      </w:r>
    </w:p>
    <w:p w14:paraId="47EAC086" w14:textId="77777777" w:rsidR="00EE6581" w:rsidRPr="00EE6581" w:rsidRDefault="00E861B4" w:rsidP="00EE6581">
      <w:pPr>
        <w:rPr>
          <w:lang w:val="en-GB"/>
        </w:rPr>
      </w:pPr>
      <w:r>
        <w:rPr>
          <w:lang w:val="en-GB"/>
        </w:rPr>
        <w:pict w14:anchorId="182179FB">
          <v:rect id="_x0000_i1025" style="width:0;height:1.5pt" o:hralign="center" o:hrstd="t" o:hr="t" fillcolor="#a0a0a0" stroked="f"/>
        </w:pict>
      </w:r>
    </w:p>
    <w:p w14:paraId="13E89EF0" w14:textId="77777777" w:rsidR="00EE6581" w:rsidRPr="00EE6581" w:rsidRDefault="00EE6581" w:rsidP="00EE6581">
      <w:pPr>
        <w:rPr>
          <w:b/>
          <w:bCs/>
          <w:lang w:val="en-GB"/>
        </w:rPr>
      </w:pPr>
      <w:r w:rsidRPr="00EE6581">
        <w:rPr>
          <w:b/>
          <w:bCs/>
          <w:lang w:val="en-GB"/>
        </w:rPr>
        <w:t>4. Contract Structure</w:t>
      </w:r>
    </w:p>
    <w:p w14:paraId="5E2610E3" w14:textId="77777777" w:rsidR="00EE6581" w:rsidRPr="00EE6581" w:rsidRDefault="00EE6581" w:rsidP="00EE6581">
      <w:pPr>
        <w:numPr>
          <w:ilvl w:val="0"/>
          <w:numId w:val="16"/>
        </w:numPr>
        <w:rPr>
          <w:lang w:val="en-GB"/>
        </w:rPr>
      </w:pPr>
      <w:r w:rsidRPr="00EE6581">
        <w:rPr>
          <w:lang w:val="en-GB"/>
        </w:rPr>
        <w:t xml:space="preserve">The contract will operate on a </w:t>
      </w:r>
      <w:r w:rsidRPr="00EE6581">
        <w:rPr>
          <w:b/>
          <w:bCs/>
          <w:lang w:val="en-GB"/>
        </w:rPr>
        <w:t>retainer plus call-off</w:t>
      </w:r>
      <w:r w:rsidRPr="00EE6581">
        <w:rPr>
          <w:lang w:val="en-GB"/>
        </w:rPr>
        <w:t xml:space="preserve"> basis.</w:t>
      </w:r>
    </w:p>
    <w:p w14:paraId="7562BB0A" w14:textId="77777777" w:rsidR="00EE6581" w:rsidRPr="00EE6581" w:rsidRDefault="00EE6581" w:rsidP="00EE6581">
      <w:pPr>
        <w:numPr>
          <w:ilvl w:val="0"/>
          <w:numId w:val="16"/>
        </w:numPr>
        <w:rPr>
          <w:lang w:val="en-GB"/>
        </w:rPr>
      </w:pPr>
      <w:r w:rsidRPr="00EE6581">
        <w:rPr>
          <w:lang w:val="en-GB"/>
        </w:rPr>
        <w:t>ECW will draw down support as required, depending on emerging priorities.</w:t>
      </w:r>
    </w:p>
    <w:p w14:paraId="67AE6205" w14:textId="77777777" w:rsidR="00EE6581" w:rsidRPr="00EE6581" w:rsidRDefault="00EE6581" w:rsidP="00EE6581">
      <w:pPr>
        <w:numPr>
          <w:ilvl w:val="0"/>
          <w:numId w:val="16"/>
        </w:numPr>
        <w:rPr>
          <w:lang w:val="en-GB"/>
        </w:rPr>
      </w:pPr>
      <w:r w:rsidRPr="00EE6581">
        <w:rPr>
          <w:lang w:val="en-GB"/>
        </w:rPr>
        <w:t>The provider must offer clear hourly/day rates for different specialisms as well as a retainer proposal.</w:t>
      </w:r>
    </w:p>
    <w:p w14:paraId="27F34F88" w14:textId="77777777" w:rsidR="00EE6581" w:rsidRPr="00EE6581" w:rsidRDefault="00E861B4" w:rsidP="00EE6581">
      <w:pPr>
        <w:rPr>
          <w:lang w:val="en-GB"/>
        </w:rPr>
      </w:pPr>
      <w:r>
        <w:rPr>
          <w:lang w:val="en-GB"/>
        </w:rPr>
        <w:pict w14:anchorId="5751534C">
          <v:rect id="_x0000_i1026" style="width:0;height:1.5pt" o:hralign="center" o:hrstd="t" o:hr="t" fillcolor="#a0a0a0" stroked="f"/>
        </w:pict>
      </w:r>
    </w:p>
    <w:p w14:paraId="3C3ED598" w14:textId="77777777" w:rsidR="00EE6581" w:rsidRPr="00EE6581" w:rsidRDefault="00EE6581" w:rsidP="00EE6581">
      <w:pPr>
        <w:rPr>
          <w:b/>
          <w:bCs/>
          <w:lang w:val="en-GB"/>
        </w:rPr>
      </w:pPr>
      <w:r w:rsidRPr="00EE6581">
        <w:rPr>
          <w:b/>
          <w:bCs/>
          <w:lang w:val="en-GB"/>
        </w:rPr>
        <w:t>5. Expected Outcomes</w:t>
      </w:r>
    </w:p>
    <w:p w14:paraId="5195031B" w14:textId="77777777" w:rsidR="00EE6581" w:rsidRPr="00EE6581" w:rsidRDefault="00EE6581" w:rsidP="00EE6581">
      <w:pPr>
        <w:rPr>
          <w:lang w:val="en-GB"/>
        </w:rPr>
      </w:pPr>
      <w:r w:rsidRPr="00EE6581">
        <w:rPr>
          <w:lang w:val="en-GB"/>
        </w:rPr>
        <w:t>The appointed provider will help ECW to:</w:t>
      </w:r>
    </w:p>
    <w:p w14:paraId="5CA5094F" w14:textId="77777777" w:rsidR="00EE6581" w:rsidRPr="00EE6581" w:rsidRDefault="00EE6581" w:rsidP="00EE6581">
      <w:pPr>
        <w:numPr>
          <w:ilvl w:val="0"/>
          <w:numId w:val="17"/>
        </w:numPr>
        <w:rPr>
          <w:lang w:val="en-GB"/>
        </w:rPr>
      </w:pPr>
      <w:r w:rsidRPr="00EE6581">
        <w:rPr>
          <w:lang w:val="en-GB"/>
        </w:rPr>
        <w:t>Understand the legal implications of each transfer option</w:t>
      </w:r>
    </w:p>
    <w:p w14:paraId="4263081F" w14:textId="77777777" w:rsidR="00EE6581" w:rsidRPr="00EE6581" w:rsidRDefault="00EE6581" w:rsidP="00EE6581">
      <w:pPr>
        <w:numPr>
          <w:ilvl w:val="0"/>
          <w:numId w:val="17"/>
        </w:numPr>
        <w:rPr>
          <w:lang w:val="en-GB"/>
        </w:rPr>
      </w:pPr>
      <w:r w:rsidRPr="00EE6581">
        <w:rPr>
          <w:lang w:val="en-GB"/>
        </w:rPr>
        <w:t>Identify and mitigate risks across all relevant workstreams</w:t>
      </w:r>
    </w:p>
    <w:p w14:paraId="6C3B60BB" w14:textId="77777777" w:rsidR="00EE6581" w:rsidRPr="00EE6581" w:rsidRDefault="00EE6581" w:rsidP="00EE6581">
      <w:pPr>
        <w:numPr>
          <w:ilvl w:val="0"/>
          <w:numId w:val="17"/>
        </w:numPr>
        <w:rPr>
          <w:lang w:val="en-GB"/>
        </w:rPr>
      </w:pPr>
      <w:r w:rsidRPr="00EE6581">
        <w:rPr>
          <w:lang w:val="en-GB"/>
        </w:rPr>
        <w:t>Document decisions and options clearly and lawfully</w:t>
      </w:r>
    </w:p>
    <w:p w14:paraId="3CFACD1C" w14:textId="77777777" w:rsidR="00EE6581" w:rsidRPr="00EE6581" w:rsidRDefault="00EE6581" w:rsidP="00EE6581">
      <w:pPr>
        <w:numPr>
          <w:ilvl w:val="0"/>
          <w:numId w:val="17"/>
        </w:numPr>
        <w:rPr>
          <w:lang w:val="en-GB"/>
        </w:rPr>
      </w:pPr>
      <w:r w:rsidRPr="00EE6581">
        <w:rPr>
          <w:lang w:val="en-GB"/>
        </w:rPr>
        <w:t>Ensure compliance with company law, public law, and relevant statutory duties</w:t>
      </w:r>
    </w:p>
    <w:p w14:paraId="7C9B89A7" w14:textId="77777777" w:rsidR="00EE6581" w:rsidRPr="00EE6581" w:rsidRDefault="00EE6581" w:rsidP="00EE6581">
      <w:pPr>
        <w:numPr>
          <w:ilvl w:val="0"/>
          <w:numId w:val="17"/>
        </w:numPr>
        <w:rPr>
          <w:lang w:val="en-GB"/>
        </w:rPr>
      </w:pPr>
      <w:r w:rsidRPr="00EE6581">
        <w:rPr>
          <w:lang w:val="en-GB"/>
        </w:rPr>
        <w:t>Support ECW in engaging with Constituent Members and the new CA</w:t>
      </w:r>
    </w:p>
    <w:p w14:paraId="75FCCDBE" w14:textId="77777777" w:rsidR="00EE6581" w:rsidRPr="00EE6581" w:rsidRDefault="00E861B4" w:rsidP="00EE6581">
      <w:pPr>
        <w:rPr>
          <w:lang w:val="en-GB"/>
        </w:rPr>
      </w:pPr>
      <w:r>
        <w:rPr>
          <w:lang w:val="en-GB"/>
        </w:rPr>
        <w:pict w14:anchorId="65F55E87">
          <v:rect id="_x0000_i1027" style="width:0;height:1.5pt" o:hralign="center" o:hrstd="t" o:hr="t" fillcolor="#a0a0a0" stroked="f"/>
        </w:pict>
      </w:r>
    </w:p>
    <w:p w14:paraId="7E6DD872" w14:textId="77777777" w:rsidR="00EE6581" w:rsidRPr="00EE6581" w:rsidRDefault="00EE6581" w:rsidP="00EE6581">
      <w:pPr>
        <w:rPr>
          <w:b/>
          <w:bCs/>
          <w:lang w:val="en-GB"/>
        </w:rPr>
      </w:pPr>
      <w:r w:rsidRPr="00EE6581">
        <w:rPr>
          <w:b/>
          <w:bCs/>
          <w:lang w:val="en-GB"/>
        </w:rPr>
        <w:t>6. Supplier Requirements</w:t>
      </w:r>
    </w:p>
    <w:p w14:paraId="5715994E" w14:textId="77777777" w:rsidR="00EE6581" w:rsidRPr="00EE6581" w:rsidRDefault="00EE6581" w:rsidP="00EE6581">
      <w:pPr>
        <w:rPr>
          <w:lang w:val="en-GB"/>
        </w:rPr>
      </w:pPr>
      <w:r w:rsidRPr="00EE6581">
        <w:rPr>
          <w:lang w:val="en-GB"/>
        </w:rPr>
        <w:t>Bidders must demonstrate:</w:t>
      </w:r>
    </w:p>
    <w:p w14:paraId="72A723F8" w14:textId="77777777" w:rsidR="00EE6581" w:rsidRPr="00EE6581" w:rsidRDefault="00EE6581" w:rsidP="00EE6581">
      <w:pPr>
        <w:numPr>
          <w:ilvl w:val="0"/>
          <w:numId w:val="18"/>
        </w:numPr>
        <w:rPr>
          <w:lang w:val="en-GB"/>
        </w:rPr>
      </w:pPr>
      <w:r w:rsidRPr="00EE6581">
        <w:rPr>
          <w:lang w:val="en-GB"/>
        </w:rPr>
        <w:t>Strong expertise in public sector transfers, governance, and reorganisation</w:t>
      </w:r>
    </w:p>
    <w:p w14:paraId="111BCABF" w14:textId="77777777" w:rsidR="00EE6581" w:rsidRPr="00EE6581" w:rsidRDefault="00EE6581" w:rsidP="00EE6581">
      <w:pPr>
        <w:numPr>
          <w:ilvl w:val="0"/>
          <w:numId w:val="18"/>
        </w:numPr>
        <w:rPr>
          <w:lang w:val="en-GB"/>
        </w:rPr>
      </w:pPr>
      <w:r w:rsidRPr="00EE6581">
        <w:rPr>
          <w:lang w:val="en-GB"/>
        </w:rPr>
        <w:t>Capability across multiple legal disciplines (e.g., public law, corporate, employment, commercial, property)</w:t>
      </w:r>
    </w:p>
    <w:p w14:paraId="723DB95B" w14:textId="77777777" w:rsidR="00EE6581" w:rsidRPr="00EE6581" w:rsidRDefault="00EE6581" w:rsidP="00EE6581">
      <w:pPr>
        <w:numPr>
          <w:ilvl w:val="0"/>
          <w:numId w:val="18"/>
        </w:numPr>
        <w:rPr>
          <w:lang w:val="en-GB"/>
        </w:rPr>
      </w:pPr>
      <w:r w:rsidRPr="00EE6581">
        <w:rPr>
          <w:lang w:val="en-GB"/>
        </w:rPr>
        <w:lastRenderedPageBreak/>
        <w:t>Experience working with local authorities, combined authorities, or similar governance environments</w:t>
      </w:r>
    </w:p>
    <w:p w14:paraId="44FCCC33" w14:textId="77777777" w:rsidR="00EE6581" w:rsidRPr="00EE6581" w:rsidRDefault="00EE6581" w:rsidP="00EE6581">
      <w:pPr>
        <w:numPr>
          <w:ilvl w:val="0"/>
          <w:numId w:val="18"/>
        </w:numPr>
        <w:rPr>
          <w:lang w:val="en-GB"/>
        </w:rPr>
      </w:pPr>
      <w:r w:rsidRPr="00EE6581">
        <w:rPr>
          <w:lang w:val="en-GB"/>
        </w:rPr>
        <w:t>Capacity to operate flexibly under uncertainty and evolving policy contexts</w:t>
      </w:r>
    </w:p>
    <w:p w14:paraId="313288FC" w14:textId="77777777" w:rsidR="00EE6581" w:rsidRPr="00EE6581" w:rsidRDefault="00E861B4" w:rsidP="00EE6581">
      <w:pPr>
        <w:rPr>
          <w:lang w:val="en-GB"/>
        </w:rPr>
      </w:pPr>
      <w:r>
        <w:rPr>
          <w:lang w:val="en-GB"/>
        </w:rPr>
        <w:pict w14:anchorId="11384BAB">
          <v:rect id="_x0000_i1028" style="width:0;height:1.5pt" o:hralign="center" o:hrstd="t" o:hr="t" fillcolor="#a0a0a0" stroked="f"/>
        </w:pict>
      </w:r>
    </w:p>
    <w:p w14:paraId="7ABDF7D2" w14:textId="77777777" w:rsidR="00EE6581" w:rsidRPr="00EE6581" w:rsidRDefault="00EE6581" w:rsidP="00EE6581">
      <w:pPr>
        <w:rPr>
          <w:b/>
          <w:bCs/>
          <w:lang w:val="en-GB"/>
        </w:rPr>
      </w:pPr>
      <w:r w:rsidRPr="00EE6581">
        <w:rPr>
          <w:b/>
          <w:bCs/>
          <w:lang w:val="en-GB"/>
        </w:rPr>
        <w:t>7. Contract Duration</w:t>
      </w:r>
    </w:p>
    <w:p w14:paraId="64D9300B" w14:textId="77777777" w:rsidR="00EE6581" w:rsidRPr="00EE6581" w:rsidRDefault="00EE6581" w:rsidP="00EE6581">
      <w:pPr>
        <w:rPr>
          <w:lang w:val="en-GB"/>
        </w:rPr>
      </w:pPr>
      <w:r w:rsidRPr="00EE6581">
        <w:rPr>
          <w:lang w:val="en-GB"/>
        </w:rPr>
        <w:t>The contract is expected to run for an initial period aligned with the CA transition timetable, with an option to extend if required.</w:t>
      </w:r>
    </w:p>
    <w:p w14:paraId="7CEB888D" w14:textId="77777777" w:rsidR="003B5FAD" w:rsidRPr="00E0364B" w:rsidRDefault="003B5FAD" w:rsidP="003B5FAD">
      <w:pPr>
        <w:rPr>
          <w:lang w:val="en-GB"/>
        </w:rPr>
      </w:pPr>
      <w:r>
        <w:rPr>
          <w:b/>
          <w:bCs/>
          <w:lang w:val="en-GB"/>
        </w:rPr>
        <w:t>5.</w:t>
      </w:r>
      <w:r w:rsidRPr="00E0364B">
        <w:rPr>
          <w:b/>
          <w:bCs/>
          <w:lang w:val="en-GB"/>
        </w:rPr>
        <w:t>Tender Submission Requirements Tenderers must provide</w:t>
      </w:r>
      <w:r w:rsidRPr="00E0364B">
        <w:rPr>
          <w:lang w:val="en-GB"/>
        </w:rPr>
        <w:t>:</w:t>
      </w:r>
    </w:p>
    <w:p w14:paraId="72E27D0F" w14:textId="77777777" w:rsidR="003B5FAD" w:rsidRPr="00E0364B" w:rsidRDefault="003B5FAD" w:rsidP="003B5FAD">
      <w:pPr>
        <w:pStyle w:val="ListParagraph"/>
        <w:numPr>
          <w:ilvl w:val="1"/>
          <w:numId w:val="10"/>
        </w:numPr>
        <w:rPr>
          <w:lang w:val="en-GB"/>
        </w:rPr>
      </w:pPr>
      <w:r w:rsidRPr="00E0364B">
        <w:rPr>
          <w:lang w:val="en-GB"/>
        </w:rPr>
        <w:t>Method Statement (max 3 pages) covering approach, understanding of risks and key legal issues, and proposed timeline.</w:t>
      </w:r>
    </w:p>
    <w:p w14:paraId="75E4A1C1" w14:textId="77777777" w:rsidR="003B5FAD" w:rsidRDefault="003B5FAD" w:rsidP="003B5FAD">
      <w:pPr>
        <w:pStyle w:val="ListParagraph"/>
        <w:numPr>
          <w:ilvl w:val="1"/>
          <w:numId w:val="10"/>
        </w:numPr>
        <w:rPr>
          <w:lang w:val="en-GB"/>
        </w:rPr>
      </w:pPr>
      <w:r w:rsidRPr="00E0364B">
        <w:rPr>
          <w:lang w:val="en-GB"/>
        </w:rPr>
        <w:t>Team Details including relevant experience of key personnel.</w:t>
      </w:r>
    </w:p>
    <w:p w14:paraId="72167819" w14:textId="06156D43" w:rsidR="003B5FAD" w:rsidRPr="003B5FAD" w:rsidRDefault="003B5FAD" w:rsidP="003B5FAD">
      <w:pPr>
        <w:numPr>
          <w:ilvl w:val="0"/>
          <w:numId w:val="10"/>
        </w:numPr>
        <w:rPr>
          <w:lang w:val="en-GB"/>
        </w:rPr>
      </w:pPr>
      <w:r w:rsidRPr="00EE6581">
        <w:rPr>
          <w:lang w:val="en-GB"/>
        </w:rPr>
        <w:t xml:space="preserve">Pricing </w:t>
      </w:r>
      <w:r>
        <w:rPr>
          <w:lang w:val="en-GB"/>
        </w:rPr>
        <w:t>to include a call off and</w:t>
      </w:r>
      <w:r w:rsidRPr="00EE6581">
        <w:rPr>
          <w:lang w:val="en-GB"/>
        </w:rPr>
        <w:t xml:space="preserve"> retainer model</w:t>
      </w:r>
    </w:p>
    <w:p w14:paraId="2D2E1500" w14:textId="77777777" w:rsidR="003B5FAD" w:rsidRPr="00E0364B" w:rsidRDefault="003B5FAD" w:rsidP="003B5FAD">
      <w:pPr>
        <w:pStyle w:val="ListParagraph"/>
        <w:numPr>
          <w:ilvl w:val="1"/>
          <w:numId w:val="10"/>
        </w:numPr>
        <w:rPr>
          <w:lang w:val="en-GB"/>
        </w:rPr>
      </w:pPr>
      <w:r w:rsidRPr="00E0364B">
        <w:rPr>
          <w:lang w:val="en-GB"/>
        </w:rPr>
        <w:t>Examples of Similar Work (max 2).</w:t>
      </w:r>
    </w:p>
    <w:p w14:paraId="5BE875F8" w14:textId="77777777" w:rsidR="003B5FAD" w:rsidRPr="00E0364B" w:rsidRDefault="003B5FAD" w:rsidP="003B5FAD">
      <w:pPr>
        <w:pStyle w:val="ListParagraph"/>
        <w:numPr>
          <w:ilvl w:val="1"/>
          <w:numId w:val="10"/>
        </w:numPr>
        <w:rPr>
          <w:lang w:val="en-GB"/>
        </w:rPr>
      </w:pPr>
      <w:r w:rsidRPr="00E0364B">
        <w:rPr>
          <w:lang w:val="en-GB"/>
        </w:rPr>
        <w:t>Confirmation of Insurance (PI cover).</w:t>
      </w:r>
    </w:p>
    <w:p w14:paraId="00028430" w14:textId="77777777" w:rsidR="003B5FAD" w:rsidRPr="00E0364B" w:rsidRDefault="003B5FAD" w:rsidP="003B5FAD">
      <w:pPr>
        <w:pStyle w:val="ListParagraph"/>
        <w:numPr>
          <w:ilvl w:val="1"/>
          <w:numId w:val="10"/>
        </w:numPr>
        <w:rPr>
          <w:lang w:val="en-GB"/>
        </w:rPr>
      </w:pPr>
      <w:r w:rsidRPr="00E0364B">
        <w:rPr>
          <w:lang w:val="en-GB"/>
        </w:rPr>
        <w:t>Conflict of Interest Declaration.</w:t>
      </w:r>
    </w:p>
    <w:tbl>
      <w:tblPr>
        <w:tblW w:w="0" w:type="dxa"/>
        <w:shd w:val="clear" w:color="auto" w:fill="FFFFFF"/>
        <w:tblCellMar>
          <w:left w:w="0" w:type="dxa"/>
          <w:right w:w="0" w:type="dxa"/>
        </w:tblCellMar>
        <w:tblLook w:val="04A0" w:firstRow="1" w:lastRow="0" w:firstColumn="1" w:lastColumn="0" w:noHBand="0" w:noVBand="1"/>
      </w:tblPr>
      <w:tblGrid>
        <w:gridCol w:w="5250"/>
        <w:gridCol w:w="3090"/>
      </w:tblGrid>
      <w:tr w:rsidR="009D2EE8" w:rsidRPr="009D2EE8" w14:paraId="62654A6A" w14:textId="77777777">
        <w:trPr>
          <w:trHeight w:val="300"/>
        </w:trPr>
        <w:tc>
          <w:tcPr>
            <w:tcW w:w="5250"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327C9217" w14:textId="77777777" w:rsidR="009D2EE8" w:rsidRPr="009D2EE8" w:rsidRDefault="009D2EE8" w:rsidP="009D2EE8">
            <w:pPr>
              <w:spacing w:after="0"/>
              <w:textAlignment w:val="baseline"/>
              <w:rPr>
                <w:b/>
                <w:bCs/>
                <w:lang w:val="en-GB"/>
              </w:rPr>
            </w:pPr>
            <w:r w:rsidRPr="009D2EE8">
              <w:rPr>
                <w:b/>
                <w:bCs/>
                <w:lang w:val="en-GB"/>
              </w:rPr>
              <w:t>Activity </w:t>
            </w:r>
          </w:p>
        </w:tc>
        <w:tc>
          <w:tcPr>
            <w:tcW w:w="3090"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14:paraId="6FFD45A2" w14:textId="77777777" w:rsidR="009D2EE8" w:rsidRPr="009D2EE8" w:rsidRDefault="009D2EE8" w:rsidP="009D2EE8">
            <w:pPr>
              <w:spacing w:after="0"/>
              <w:textAlignment w:val="baseline"/>
              <w:rPr>
                <w:b/>
                <w:bCs/>
                <w:lang w:val="en-GB"/>
              </w:rPr>
            </w:pPr>
            <w:r w:rsidRPr="009D2EE8">
              <w:rPr>
                <w:b/>
                <w:bCs/>
                <w:lang w:val="en-GB"/>
              </w:rPr>
              <w:t>Date </w:t>
            </w:r>
          </w:p>
        </w:tc>
      </w:tr>
      <w:tr w:rsidR="009D2EE8" w:rsidRPr="009D2EE8" w14:paraId="408248DC"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2E4BA5E" w14:textId="77777777" w:rsidR="009D2EE8" w:rsidRPr="009D2EE8" w:rsidRDefault="009D2EE8" w:rsidP="009D2EE8">
            <w:pPr>
              <w:spacing w:after="0"/>
              <w:textAlignment w:val="baseline"/>
              <w:rPr>
                <w:lang w:val="en-GB"/>
              </w:rPr>
            </w:pPr>
            <w:r w:rsidRPr="009D2EE8">
              <w:rPr>
                <w:lang w:val="en-GB"/>
              </w:rPr>
              <w:t>Invitation to Tender (ITT) Live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BCE9DA2" w14:textId="5501195D" w:rsidR="009D2EE8" w:rsidRPr="009D2EE8" w:rsidRDefault="009D2EE8" w:rsidP="009D2EE8">
            <w:pPr>
              <w:spacing w:after="0"/>
              <w:jc w:val="center"/>
              <w:textAlignment w:val="baseline"/>
              <w:rPr>
                <w:lang w:val="en-GB"/>
              </w:rPr>
            </w:pPr>
            <w:r>
              <w:rPr>
                <w:lang w:val="en-GB"/>
              </w:rPr>
              <w:t>12</w:t>
            </w:r>
            <w:r w:rsidRPr="009D2EE8">
              <w:rPr>
                <w:vertAlign w:val="superscript"/>
                <w:lang w:val="en-GB"/>
              </w:rPr>
              <w:t>th</w:t>
            </w:r>
            <w:r>
              <w:rPr>
                <w:lang w:val="en-GB"/>
              </w:rPr>
              <w:t xml:space="preserve"> December 2025</w:t>
            </w:r>
          </w:p>
        </w:tc>
      </w:tr>
      <w:tr w:rsidR="009D2EE8" w:rsidRPr="009D2EE8" w14:paraId="3C76124D"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132073F" w14:textId="77777777" w:rsidR="009D2EE8" w:rsidRPr="009D2EE8" w:rsidRDefault="009D2EE8" w:rsidP="009D2EE8">
            <w:pPr>
              <w:spacing w:after="0"/>
              <w:textAlignment w:val="baseline"/>
              <w:rPr>
                <w:lang w:val="en-GB"/>
              </w:rPr>
            </w:pPr>
            <w:r w:rsidRPr="009D2EE8">
              <w:rPr>
                <w:lang w:val="en-GB"/>
              </w:rPr>
              <w:t>Deadline for queries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74CE83B" w14:textId="6F4061FC" w:rsidR="009D2EE8" w:rsidRPr="009D2EE8" w:rsidRDefault="009D2EE8" w:rsidP="009D2EE8">
            <w:pPr>
              <w:spacing w:after="0"/>
              <w:jc w:val="center"/>
              <w:textAlignment w:val="baseline"/>
              <w:rPr>
                <w:lang w:val="en-GB"/>
              </w:rPr>
            </w:pPr>
            <w:r w:rsidRPr="009D2EE8">
              <w:rPr>
                <w:lang w:val="en-GB"/>
              </w:rPr>
              <w:t>18</w:t>
            </w:r>
            <w:r w:rsidRPr="009D2EE8">
              <w:rPr>
                <w:vertAlign w:val="superscript"/>
                <w:lang w:val="en-GB"/>
              </w:rPr>
              <w:t>th</w:t>
            </w:r>
            <w:r>
              <w:rPr>
                <w:lang w:val="en-GB"/>
              </w:rPr>
              <w:t xml:space="preserve"> </w:t>
            </w:r>
            <w:r w:rsidRPr="009D2EE8">
              <w:rPr>
                <w:lang w:val="en-GB"/>
              </w:rPr>
              <w:t>December</w:t>
            </w:r>
            <w:r>
              <w:rPr>
                <w:lang w:val="en-GB"/>
              </w:rPr>
              <w:t xml:space="preserve"> 2025</w:t>
            </w:r>
          </w:p>
        </w:tc>
      </w:tr>
      <w:tr w:rsidR="009D2EE8" w:rsidRPr="009D2EE8" w14:paraId="397C6DB1" w14:textId="77777777">
        <w:trPr>
          <w:trHeight w:val="615"/>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18A8D8E9" w14:textId="77777777" w:rsidR="009D2EE8" w:rsidRPr="009D2EE8" w:rsidRDefault="009D2EE8" w:rsidP="009D2EE8">
            <w:pPr>
              <w:spacing w:after="0"/>
              <w:textAlignment w:val="baseline"/>
              <w:rPr>
                <w:lang w:val="en-GB"/>
              </w:rPr>
            </w:pPr>
            <w:r w:rsidRPr="009D2EE8">
              <w:rPr>
                <w:lang w:val="en-GB"/>
              </w:rPr>
              <w:t>ECW response to queries via email to all tenderers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0961A52" w14:textId="37130259" w:rsidR="009D2EE8" w:rsidRPr="009D2EE8" w:rsidRDefault="009D2EE8" w:rsidP="009D2EE8">
            <w:pPr>
              <w:spacing w:after="0"/>
              <w:jc w:val="center"/>
              <w:textAlignment w:val="baseline"/>
              <w:rPr>
                <w:lang w:val="en-GB"/>
              </w:rPr>
            </w:pPr>
            <w:r w:rsidRPr="009D2EE8">
              <w:rPr>
                <w:lang w:val="en-GB"/>
              </w:rPr>
              <w:t>24</w:t>
            </w:r>
            <w:r w:rsidRPr="009D2EE8">
              <w:rPr>
                <w:vertAlign w:val="superscript"/>
                <w:lang w:val="en-GB"/>
              </w:rPr>
              <w:t>th</w:t>
            </w:r>
            <w:r w:rsidRPr="009D2EE8">
              <w:rPr>
                <w:lang w:val="en-GB"/>
              </w:rPr>
              <w:t xml:space="preserve"> December</w:t>
            </w:r>
            <w:r>
              <w:rPr>
                <w:lang w:val="en-GB"/>
              </w:rPr>
              <w:t xml:space="preserve"> 2025</w:t>
            </w:r>
          </w:p>
        </w:tc>
      </w:tr>
      <w:tr w:rsidR="009D2EE8" w:rsidRPr="009D2EE8" w14:paraId="4C51F3AB"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588F816" w14:textId="77777777" w:rsidR="009D2EE8" w:rsidRPr="009D2EE8" w:rsidRDefault="009D2EE8" w:rsidP="009D2EE8">
            <w:pPr>
              <w:spacing w:after="0"/>
              <w:textAlignment w:val="baseline"/>
              <w:rPr>
                <w:lang w:val="en-GB"/>
              </w:rPr>
            </w:pPr>
            <w:r w:rsidRPr="009D2EE8">
              <w:rPr>
                <w:lang w:val="en-GB"/>
              </w:rPr>
              <w:t>Tender submission deadline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2A26D90" w14:textId="2DA27F0A" w:rsidR="009D2EE8" w:rsidRPr="009D2EE8" w:rsidRDefault="009D2EE8" w:rsidP="009D2EE8">
            <w:pPr>
              <w:spacing w:after="0"/>
              <w:jc w:val="center"/>
              <w:textAlignment w:val="baseline"/>
              <w:rPr>
                <w:lang w:val="en-GB"/>
              </w:rPr>
            </w:pPr>
            <w:r w:rsidRPr="009D2EE8">
              <w:rPr>
                <w:lang w:val="en-GB"/>
              </w:rPr>
              <w:t>05</w:t>
            </w:r>
            <w:r w:rsidRPr="009D2EE8">
              <w:rPr>
                <w:vertAlign w:val="superscript"/>
                <w:lang w:val="en-GB"/>
              </w:rPr>
              <w:t>th</w:t>
            </w:r>
            <w:r w:rsidRPr="009D2EE8">
              <w:rPr>
                <w:lang w:val="en-GB"/>
              </w:rPr>
              <w:t xml:space="preserve"> January</w:t>
            </w:r>
            <w:r>
              <w:rPr>
                <w:lang w:val="en-GB"/>
              </w:rPr>
              <w:t xml:space="preserve"> 2025 by 17:30pm</w:t>
            </w:r>
          </w:p>
        </w:tc>
      </w:tr>
      <w:tr w:rsidR="009D2EE8" w:rsidRPr="009D2EE8" w14:paraId="490162B8" w14:textId="77777777">
        <w:trPr>
          <w:trHeight w:val="915"/>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EFDD676" w14:textId="77777777" w:rsidR="009D2EE8" w:rsidRPr="009D2EE8" w:rsidRDefault="009D2EE8" w:rsidP="009D2EE8">
            <w:pPr>
              <w:spacing w:after="0"/>
              <w:textAlignment w:val="baseline"/>
              <w:rPr>
                <w:lang w:val="en-GB"/>
              </w:rPr>
            </w:pPr>
            <w:r w:rsidRPr="009D2EE8">
              <w:rPr>
                <w:lang w:val="en-GB"/>
              </w:rPr>
              <w:t>Evaluation of submissions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1969EC" w14:textId="76957E39" w:rsidR="009D2EE8" w:rsidRPr="009D2EE8" w:rsidRDefault="009D2EE8" w:rsidP="009D2EE8">
            <w:pPr>
              <w:spacing w:after="0"/>
              <w:jc w:val="center"/>
              <w:textAlignment w:val="baseline"/>
              <w:rPr>
                <w:lang w:val="en-GB"/>
              </w:rPr>
            </w:pPr>
            <w:r w:rsidRPr="009D2EE8">
              <w:rPr>
                <w:lang w:val="en-GB"/>
              </w:rPr>
              <w:t>07</w:t>
            </w:r>
            <w:r w:rsidRPr="009D2EE8">
              <w:rPr>
                <w:vertAlign w:val="superscript"/>
                <w:lang w:val="en-GB"/>
              </w:rPr>
              <w:t>th</w:t>
            </w:r>
            <w:r w:rsidRPr="009D2EE8">
              <w:rPr>
                <w:lang w:val="en-GB"/>
              </w:rPr>
              <w:t xml:space="preserve"> January</w:t>
            </w:r>
            <w:r>
              <w:rPr>
                <w:lang w:val="en-GB"/>
              </w:rPr>
              <w:t xml:space="preserve"> 2025</w:t>
            </w:r>
          </w:p>
        </w:tc>
      </w:tr>
      <w:tr w:rsidR="009D2EE8" w:rsidRPr="009D2EE8" w14:paraId="0167FCFE" w14:textId="77777777">
        <w:trPr>
          <w:trHeight w:val="6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5534FA8B" w14:textId="77777777" w:rsidR="009D2EE8" w:rsidRPr="009D2EE8" w:rsidRDefault="009D2EE8" w:rsidP="009D2EE8">
            <w:pPr>
              <w:spacing w:after="0"/>
              <w:textAlignment w:val="baseline"/>
              <w:rPr>
                <w:lang w:val="en-GB"/>
              </w:rPr>
            </w:pPr>
            <w:r w:rsidRPr="009D2EE8">
              <w:rPr>
                <w:lang w:val="en-GB"/>
              </w:rPr>
              <w:t>Interviews, if required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C7C8E32" w14:textId="077CB6B1" w:rsidR="009D2EE8" w:rsidRPr="009D2EE8" w:rsidRDefault="009D2EE8" w:rsidP="009D2EE8">
            <w:pPr>
              <w:spacing w:after="0"/>
              <w:jc w:val="center"/>
              <w:textAlignment w:val="baseline"/>
              <w:rPr>
                <w:lang w:val="en-GB"/>
              </w:rPr>
            </w:pPr>
            <w:r w:rsidRPr="009D2EE8">
              <w:rPr>
                <w:lang w:val="en-GB"/>
              </w:rPr>
              <w:t>12</w:t>
            </w:r>
            <w:r w:rsidRPr="009D2EE8">
              <w:rPr>
                <w:vertAlign w:val="superscript"/>
                <w:lang w:val="en-GB"/>
              </w:rPr>
              <w:t>th</w:t>
            </w:r>
            <w:r w:rsidRPr="009D2EE8">
              <w:rPr>
                <w:lang w:val="en-GB"/>
              </w:rPr>
              <w:t xml:space="preserve"> January</w:t>
            </w:r>
            <w:r>
              <w:rPr>
                <w:lang w:val="en-GB"/>
              </w:rPr>
              <w:t xml:space="preserve"> 2025</w:t>
            </w:r>
          </w:p>
        </w:tc>
      </w:tr>
      <w:tr w:rsidR="009D2EE8" w:rsidRPr="009D2EE8" w14:paraId="47DDC791"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0D615440" w14:textId="77777777" w:rsidR="009D2EE8" w:rsidRPr="009D2EE8" w:rsidRDefault="009D2EE8" w:rsidP="009D2EE8">
            <w:pPr>
              <w:spacing w:after="0"/>
              <w:textAlignment w:val="baseline"/>
              <w:rPr>
                <w:lang w:val="en-GB"/>
              </w:rPr>
            </w:pPr>
            <w:r w:rsidRPr="009D2EE8">
              <w:rPr>
                <w:lang w:val="en-GB"/>
              </w:rPr>
              <w:t>Bidders notified of contract award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9E9C2A9" w14:textId="120DA3FC" w:rsidR="009D2EE8" w:rsidRPr="009D2EE8" w:rsidRDefault="009D2EE8" w:rsidP="009D2EE8">
            <w:pPr>
              <w:spacing w:after="0"/>
              <w:jc w:val="center"/>
              <w:textAlignment w:val="baseline"/>
              <w:rPr>
                <w:lang w:val="en-GB"/>
              </w:rPr>
            </w:pPr>
            <w:r w:rsidRPr="009D2EE8">
              <w:rPr>
                <w:lang w:val="en-GB"/>
              </w:rPr>
              <w:t>14</w:t>
            </w:r>
            <w:r w:rsidRPr="009D2EE8">
              <w:rPr>
                <w:vertAlign w:val="superscript"/>
                <w:lang w:val="en-GB"/>
              </w:rPr>
              <w:t>th</w:t>
            </w:r>
            <w:r w:rsidRPr="009D2EE8">
              <w:rPr>
                <w:lang w:val="en-GB"/>
              </w:rPr>
              <w:t xml:space="preserve"> January</w:t>
            </w:r>
            <w:r>
              <w:rPr>
                <w:lang w:val="en-GB"/>
              </w:rPr>
              <w:t xml:space="preserve"> 2025</w:t>
            </w:r>
          </w:p>
        </w:tc>
      </w:tr>
      <w:tr w:rsidR="009D2EE8" w:rsidRPr="009D2EE8" w14:paraId="14E0C437"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23DD2B4" w14:textId="77777777" w:rsidR="009D2EE8" w:rsidRPr="009D2EE8" w:rsidRDefault="009D2EE8" w:rsidP="009D2EE8">
            <w:pPr>
              <w:spacing w:after="0"/>
              <w:textAlignment w:val="baseline"/>
              <w:rPr>
                <w:lang w:val="en-GB"/>
              </w:rPr>
            </w:pPr>
            <w:r w:rsidRPr="009D2EE8">
              <w:rPr>
                <w:lang w:val="en-GB"/>
              </w:rPr>
              <w:t>Contract signing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8C912BE" w14:textId="1AAECF45" w:rsidR="009D2EE8" w:rsidRPr="009D2EE8" w:rsidRDefault="009D2EE8" w:rsidP="009D2EE8">
            <w:pPr>
              <w:spacing w:after="0"/>
              <w:jc w:val="center"/>
              <w:textAlignment w:val="baseline"/>
              <w:rPr>
                <w:lang w:val="en-GB"/>
              </w:rPr>
            </w:pPr>
            <w:r w:rsidRPr="009D2EE8">
              <w:rPr>
                <w:lang w:val="en-GB"/>
              </w:rPr>
              <w:t>16</w:t>
            </w:r>
            <w:r w:rsidRPr="009D2EE8">
              <w:rPr>
                <w:vertAlign w:val="superscript"/>
                <w:lang w:val="en-GB"/>
              </w:rPr>
              <w:t>th</w:t>
            </w:r>
            <w:r w:rsidRPr="009D2EE8">
              <w:rPr>
                <w:lang w:val="en-GB"/>
              </w:rPr>
              <w:t xml:space="preserve"> January</w:t>
            </w:r>
            <w:r>
              <w:rPr>
                <w:lang w:val="en-GB"/>
              </w:rPr>
              <w:t xml:space="preserve"> 2025</w:t>
            </w:r>
          </w:p>
        </w:tc>
      </w:tr>
      <w:tr w:rsidR="009D2EE8" w:rsidRPr="009D2EE8" w14:paraId="14322136"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0DD42682" w14:textId="77777777" w:rsidR="009D2EE8" w:rsidRPr="009D2EE8" w:rsidRDefault="009D2EE8" w:rsidP="009D2EE8">
            <w:pPr>
              <w:spacing w:after="0"/>
              <w:textAlignment w:val="baseline"/>
              <w:rPr>
                <w:lang w:val="en-GB"/>
              </w:rPr>
            </w:pPr>
            <w:r w:rsidRPr="009D2EE8">
              <w:rPr>
                <w:lang w:val="en-GB"/>
              </w:rPr>
              <w:t>Contract to start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ED6095E" w14:textId="7957D5E4" w:rsidR="009D2EE8" w:rsidRPr="009D2EE8" w:rsidRDefault="009D2EE8" w:rsidP="009D2EE8">
            <w:pPr>
              <w:spacing w:after="0"/>
              <w:jc w:val="center"/>
              <w:textAlignment w:val="baseline"/>
              <w:rPr>
                <w:lang w:val="en-GB"/>
              </w:rPr>
            </w:pPr>
            <w:r w:rsidRPr="009D2EE8">
              <w:rPr>
                <w:lang w:val="en-GB"/>
              </w:rPr>
              <w:t>19</w:t>
            </w:r>
            <w:r w:rsidRPr="009D2EE8">
              <w:rPr>
                <w:vertAlign w:val="superscript"/>
                <w:lang w:val="en-GB"/>
              </w:rPr>
              <w:t>th</w:t>
            </w:r>
            <w:r w:rsidRPr="009D2EE8">
              <w:rPr>
                <w:lang w:val="en-GB"/>
              </w:rPr>
              <w:t xml:space="preserve"> January </w:t>
            </w:r>
            <w:r>
              <w:rPr>
                <w:lang w:val="en-GB"/>
              </w:rPr>
              <w:t>2025</w:t>
            </w:r>
          </w:p>
        </w:tc>
      </w:tr>
    </w:tbl>
    <w:p w14:paraId="199B7BDD" w14:textId="77777777" w:rsidR="003B5FAD" w:rsidRPr="003B5FAD" w:rsidRDefault="003B5FAD" w:rsidP="003B5FAD">
      <w:pPr>
        <w:rPr>
          <w:lang w:val="en-GB"/>
        </w:rPr>
      </w:pPr>
    </w:p>
    <w:p w14:paraId="3954E141" w14:textId="77777777" w:rsidR="00EE6581" w:rsidRDefault="00EE6581" w:rsidP="00EE6581">
      <w:pPr>
        <w:rPr>
          <w:lang w:val="en-GB"/>
        </w:rPr>
      </w:pPr>
    </w:p>
    <w:p w14:paraId="6FC1D871" w14:textId="33075238" w:rsidR="00EE6581" w:rsidRPr="00E0364B" w:rsidRDefault="00EE6581" w:rsidP="00EE6581">
      <w:pPr>
        <w:rPr>
          <w:lang w:val="en-GB"/>
        </w:rPr>
      </w:pPr>
      <w:r w:rsidRPr="005C186B">
        <w:rPr>
          <w:lang w:val="en-GB"/>
        </w:rPr>
        <w:t>Tenders must be submitted to</w:t>
      </w:r>
      <w:r>
        <w:rPr>
          <w:lang w:val="en-GB"/>
        </w:rPr>
        <w:t xml:space="preserve"> Debbie Simpson,</w:t>
      </w:r>
      <w:r w:rsidR="009D2EE8">
        <w:rPr>
          <w:lang w:val="en-GB"/>
        </w:rPr>
        <w:t xml:space="preserve"> </w:t>
      </w:r>
      <w:r w:rsidRPr="00E0364B">
        <w:rPr>
          <w:lang w:val="en-GB"/>
        </w:rPr>
        <w:t>Debbie.Simpson@cheshireandwarrington.com</w:t>
      </w:r>
    </w:p>
    <w:p w14:paraId="7A995471" w14:textId="77777777" w:rsidR="00EE6581" w:rsidRPr="005C186B" w:rsidRDefault="00EE6581" w:rsidP="00EE6581">
      <w:pPr>
        <w:rPr>
          <w:lang w:val="en-GB"/>
        </w:rPr>
      </w:pPr>
      <w:r w:rsidRPr="005C186B">
        <w:rPr>
          <w:lang w:val="en-GB"/>
        </w:rPr>
        <w:t xml:space="preserve"> Late submissions may not be considered.</w:t>
      </w:r>
    </w:p>
    <w:p w14:paraId="5C68F0E6" w14:textId="18BAAFF7" w:rsidR="003B5FAD" w:rsidRPr="00463E96" w:rsidRDefault="003B5FAD" w:rsidP="003B5FAD">
      <w:pPr>
        <w:rPr>
          <w:b/>
          <w:bCs/>
          <w:lang w:val="en-GB"/>
        </w:rPr>
      </w:pPr>
      <w:r w:rsidRPr="005C186B">
        <w:rPr>
          <w:b/>
          <w:bCs/>
          <w:lang w:val="en-GB"/>
        </w:rPr>
        <w:t>Conflic</w:t>
      </w:r>
      <w:r>
        <w:rPr>
          <w:b/>
          <w:bCs/>
          <w:lang w:val="en-GB"/>
        </w:rPr>
        <w:t>ts</w:t>
      </w:r>
      <w:r w:rsidRPr="005C186B">
        <w:rPr>
          <w:b/>
          <w:bCs/>
          <w:lang w:val="en-GB"/>
        </w:rPr>
        <w:t xml:space="preserve"> of Interest </w:t>
      </w:r>
    </w:p>
    <w:p w14:paraId="40EE7EB2" w14:textId="77777777" w:rsidR="003B5FAD" w:rsidRPr="005C186B" w:rsidRDefault="003B5FAD" w:rsidP="003B5FAD">
      <w:pPr>
        <w:rPr>
          <w:lang w:val="en-GB"/>
        </w:rPr>
      </w:pPr>
      <w:r w:rsidRPr="005C186B">
        <w:rPr>
          <w:lang w:val="en-GB"/>
        </w:rPr>
        <w:lastRenderedPageBreak/>
        <w:t xml:space="preserve">Tenderers must declare any actual or potential conflicts. </w:t>
      </w:r>
      <w:r>
        <w:rPr>
          <w:lang w:val="en-GB"/>
        </w:rPr>
        <w:t xml:space="preserve">ECW </w:t>
      </w:r>
      <w:r w:rsidRPr="005C186B">
        <w:rPr>
          <w:lang w:val="en-GB"/>
        </w:rPr>
        <w:t>reserves the right to exclude tenders where conflicts cannot be managed.</w:t>
      </w:r>
    </w:p>
    <w:p w14:paraId="5B706346" w14:textId="77777777" w:rsidR="003B5FAD" w:rsidRDefault="003B5FAD" w:rsidP="00EE6581"/>
    <w:p w14:paraId="1E2091DE" w14:textId="4CFD485F" w:rsidR="00EE6581" w:rsidRPr="00EE6581" w:rsidRDefault="00EE6581" w:rsidP="00EE6581">
      <w:pPr>
        <w:rPr>
          <w:b/>
          <w:bCs/>
          <w:lang w:val="en-GB"/>
        </w:rPr>
      </w:pPr>
      <w:r w:rsidRPr="00EE6581">
        <w:rPr>
          <w:b/>
          <w:bCs/>
          <w:lang w:val="en-GB"/>
        </w:rPr>
        <w:t>9. Evaluation</w:t>
      </w:r>
    </w:p>
    <w:p w14:paraId="6288A7E5" w14:textId="77777777" w:rsidR="00EE6581" w:rsidRPr="00EE6581" w:rsidRDefault="00EE6581" w:rsidP="00EE6581">
      <w:pPr>
        <w:rPr>
          <w:lang w:val="en-GB"/>
        </w:rPr>
      </w:pPr>
      <w:r w:rsidRPr="00EE6581">
        <w:rPr>
          <w:lang w:val="en-GB"/>
        </w:rPr>
        <w:t xml:space="preserve">Tenders will be assessed </w:t>
      </w:r>
      <w:proofErr w:type="gramStart"/>
      <w:r w:rsidRPr="00EE6581">
        <w:rPr>
          <w:lang w:val="en-GB"/>
        </w:rPr>
        <w:t>on the basis of</w:t>
      </w:r>
      <w:proofErr w:type="gramEnd"/>
      <w:r w:rsidRPr="00EE6581">
        <w:rPr>
          <w:lang w:val="en-GB"/>
        </w:rPr>
        <w:t>:</w:t>
      </w:r>
    </w:p>
    <w:p w14:paraId="1B233475" w14:textId="77777777" w:rsidR="00EE6581" w:rsidRDefault="00EE6581" w:rsidP="00EE6581">
      <w:pPr>
        <w:ind w:left="360"/>
        <w:rPr>
          <w:lang w:val="en-GB"/>
        </w:rPr>
      </w:pPr>
      <w:r w:rsidRPr="005C186B">
        <w:rPr>
          <w:lang w:val="en-GB"/>
        </w:rPr>
        <w:t xml:space="preserve">Quality of Method Statement </w:t>
      </w:r>
      <w:r>
        <w:rPr>
          <w:lang w:val="en-GB"/>
        </w:rPr>
        <w:t xml:space="preserve">- </w:t>
      </w:r>
      <w:r w:rsidRPr="005C186B">
        <w:rPr>
          <w:lang w:val="en-GB"/>
        </w:rPr>
        <w:t xml:space="preserve">30% </w:t>
      </w:r>
    </w:p>
    <w:p w14:paraId="30A02381" w14:textId="77777777" w:rsidR="00EE6581" w:rsidRDefault="00EE6581" w:rsidP="00EE6581">
      <w:pPr>
        <w:ind w:left="360"/>
        <w:rPr>
          <w:lang w:val="en-GB"/>
        </w:rPr>
      </w:pPr>
      <w:r w:rsidRPr="005C186B">
        <w:rPr>
          <w:lang w:val="en-GB"/>
        </w:rPr>
        <w:t xml:space="preserve">Relevant Experience </w:t>
      </w:r>
      <w:r>
        <w:rPr>
          <w:lang w:val="en-GB"/>
        </w:rPr>
        <w:t>-</w:t>
      </w:r>
      <w:r w:rsidRPr="005C186B">
        <w:rPr>
          <w:lang w:val="en-GB"/>
        </w:rPr>
        <w:t xml:space="preserve"> </w:t>
      </w:r>
      <w:r>
        <w:rPr>
          <w:lang w:val="en-GB"/>
        </w:rPr>
        <w:t>3</w:t>
      </w:r>
      <w:r w:rsidRPr="005C186B">
        <w:rPr>
          <w:lang w:val="en-GB"/>
        </w:rPr>
        <w:t xml:space="preserve">0% </w:t>
      </w:r>
    </w:p>
    <w:p w14:paraId="0A7ECBC8" w14:textId="77777777" w:rsidR="00EE6581" w:rsidRDefault="00EE6581" w:rsidP="00EE6581">
      <w:pPr>
        <w:ind w:left="360"/>
        <w:rPr>
          <w:lang w:val="en-GB"/>
        </w:rPr>
      </w:pPr>
      <w:r w:rsidRPr="005C186B">
        <w:rPr>
          <w:lang w:val="en-GB"/>
        </w:rPr>
        <w:t xml:space="preserve"> Price </w:t>
      </w:r>
      <w:r>
        <w:rPr>
          <w:lang w:val="en-GB"/>
        </w:rPr>
        <w:t xml:space="preserve">- </w:t>
      </w:r>
      <w:r w:rsidRPr="005C186B">
        <w:rPr>
          <w:lang w:val="en-GB"/>
        </w:rPr>
        <w:t xml:space="preserve">20% </w:t>
      </w:r>
    </w:p>
    <w:p w14:paraId="09BEF4DF" w14:textId="1D2DAD09" w:rsidR="00EE6581" w:rsidRDefault="00EE6581" w:rsidP="00EE6581">
      <w:pPr>
        <w:ind w:left="360"/>
        <w:rPr>
          <w:lang w:val="en-GB"/>
        </w:rPr>
      </w:pPr>
      <w:r w:rsidRPr="005C186B">
        <w:rPr>
          <w:lang w:val="en-GB"/>
        </w:rPr>
        <w:t xml:space="preserve">Capacity &amp; Availability </w:t>
      </w:r>
      <w:r>
        <w:rPr>
          <w:lang w:val="en-GB"/>
        </w:rPr>
        <w:t>-</w:t>
      </w:r>
      <w:r w:rsidRPr="005C186B">
        <w:rPr>
          <w:lang w:val="en-GB"/>
        </w:rPr>
        <w:t xml:space="preserve"> </w:t>
      </w:r>
      <w:r>
        <w:rPr>
          <w:lang w:val="en-GB"/>
        </w:rPr>
        <w:t>2</w:t>
      </w:r>
      <w:r w:rsidRPr="005C186B">
        <w:rPr>
          <w:lang w:val="en-GB"/>
        </w:rPr>
        <w:t xml:space="preserve">0% </w:t>
      </w:r>
    </w:p>
    <w:p w14:paraId="47A9A5E4" w14:textId="77777777" w:rsidR="003B5FAD" w:rsidRPr="005C186B" w:rsidRDefault="003B5FAD" w:rsidP="003B5FAD">
      <w:pPr>
        <w:rPr>
          <w:lang w:val="en-GB"/>
        </w:rPr>
      </w:pPr>
      <w:r>
        <w:rPr>
          <w:lang w:val="en-GB"/>
        </w:rPr>
        <w:t xml:space="preserve">ECW </w:t>
      </w:r>
      <w:r w:rsidRPr="005C186B">
        <w:rPr>
          <w:lang w:val="en-GB"/>
        </w:rPr>
        <w:t>intends to award the contract to the highest-scoring tenderer following evaluation. The Authority is not obliged to award a contract and may cancel the procurement at any stage.</w:t>
      </w:r>
    </w:p>
    <w:p w14:paraId="6986956A" w14:textId="77777777" w:rsidR="003B5FAD" w:rsidRDefault="003B5FAD" w:rsidP="003B5FAD">
      <w:pPr>
        <w:rPr>
          <w:b/>
          <w:bCs/>
          <w:lang w:val="en-GB"/>
        </w:rPr>
      </w:pPr>
    </w:p>
    <w:p w14:paraId="58EA70AF" w14:textId="463F4966" w:rsidR="003B5FAD" w:rsidRDefault="003B5FAD" w:rsidP="003B5FAD">
      <w:pPr>
        <w:rPr>
          <w:lang w:val="en-GB"/>
        </w:rPr>
      </w:pPr>
      <w:r w:rsidRPr="005C186B">
        <w:rPr>
          <w:b/>
          <w:bCs/>
          <w:lang w:val="en-GB"/>
        </w:rPr>
        <w:t>Terms &amp; Conditions</w:t>
      </w:r>
      <w:r w:rsidRPr="005C186B">
        <w:rPr>
          <w:lang w:val="en-GB"/>
        </w:rPr>
        <w:t xml:space="preserve"> </w:t>
      </w:r>
    </w:p>
    <w:p w14:paraId="675EC75E" w14:textId="77777777" w:rsidR="003B5FAD" w:rsidRDefault="003B5FAD" w:rsidP="003B5FAD">
      <w:pPr>
        <w:rPr>
          <w:lang w:val="en-GB"/>
        </w:rPr>
      </w:pPr>
      <w:r w:rsidRPr="005C186B">
        <w:rPr>
          <w:lang w:val="en-GB"/>
        </w:rPr>
        <w:t xml:space="preserve">The contract will be let under </w:t>
      </w:r>
      <w:r>
        <w:rPr>
          <w:lang w:val="en-GB"/>
        </w:rPr>
        <w:t xml:space="preserve">ECW’s </w:t>
      </w:r>
      <w:r w:rsidRPr="005C186B">
        <w:rPr>
          <w:lang w:val="en-GB"/>
        </w:rPr>
        <w:t>standard terms and conditions</w:t>
      </w:r>
      <w:r>
        <w:rPr>
          <w:lang w:val="en-GB"/>
        </w:rPr>
        <w:t>.</w:t>
      </w:r>
    </w:p>
    <w:p w14:paraId="1023BE11" w14:textId="77777777" w:rsidR="003B5FAD" w:rsidRDefault="003B5FAD" w:rsidP="003B5FAD">
      <w:pPr>
        <w:rPr>
          <w:lang w:val="en-GB"/>
        </w:rPr>
      </w:pPr>
    </w:p>
    <w:p w14:paraId="3AD40051" w14:textId="3A1343FB" w:rsidR="003B5FAD" w:rsidRDefault="003B5FAD" w:rsidP="003B5FAD">
      <w:pPr>
        <w:rPr>
          <w:lang w:val="en-GB"/>
        </w:rPr>
      </w:pPr>
      <w:r w:rsidRPr="005C186B">
        <w:rPr>
          <w:b/>
          <w:bCs/>
          <w:lang w:val="en-GB"/>
        </w:rPr>
        <w:t>Clarifications</w:t>
      </w:r>
    </w:p>
    <w:p w14:paraId="162B5D9A" w14:textId="77777777" w:rsidR="003B5FAD" w:rsidRDefault="003B5FAD" w:rsidP="003B5FAD">
      <w:pPr>
        <w:rPr>
          <w:lang w:val="en-GB"/>
        </w:rPr>
      </w:pPr>
      <w:r w:rsidRPr="005C186B">
        <w:rPr>
          <w:lang w:val="en-GB"/>
        </w:rPr>
        <w:t xml:space="preserve"> Clarification questions must be submitted </w:t>
      </w:r>
      <w:proofErr w:type="gramStart"/>
      <w:r w:rsidRPr="005C186B">
        <w:rPr>
          <w:lang w:val="en-GB"/>
        </w:rPr>
        <w:t>to</w:t>
      </w:r>
      <w:r>
        <w:rPr>
          <w:lang w:val="en-GB"/>
        </w:rPr>
        <w:t>;</w:t>
      </w:r>
      <w:proofErr w:type="gramEnd"/>
    </w:p>
    <w:p w14:paraId="6ACC6DA3" w14:textId="4BA864AF" w:rsidR="003B5FAD" w:rsidRDefault="003B5FAD" w:rsidP="003B5FAD">
      <w:pPr>
        <w:rPr>
          <w:lang w:val="en-GB"/>
        </w:rPr>
      </w:pPr>
      <w:r>
        <w:rPr>
          <w:lang w:val="en-GB"/>
        </w:rPr>
        <w:t xml:space="preserve"> </w:t>
      </w:r>
      <w:hyperlink r:id="rId5" w:history="1">
        <w:r w:rsidRPr="0058531E">
          <w:rPr>
            <w:rStyle w:val="Hyperlink"/>
            <w:lang w:val="en-GB"/>
          </w:rPr>
          <w:t>Debbie.Simpson@cheshireandwarrington.com</w:t>
        </w:r>
      </w:hyperlink>
      <w:r>
        <w:rPr>
          <w:lang w:val="en-GB"/>
        </w:rPr>
        <w:t>.</w:t>
      </w:r>
    </w:p>
    <w:p w14:paraId="721CFBEA" w14:textId="0560BA01" w:rsidR="003B5FAD" w:rsidRPr="005C186B" w:rsidRDefault="003B5FAD" w:rsidP="003B5FAD">
      <w:pPr>
        <w:rPr>
          <w:lang w:val="en-GB"/>
        </w:rPr>
      </w:pPr>
      <w:r>
        <w:rPr>
          <w:lang w:val="en-GB"/>
        </w:rPr>
        <w:t xml:space="preserve"> </w:t>
      </w:r>
      <w:r w:rsidRPr="005C186B">
        <w:rPr>
          <w:lang w:val="en-GB"/>
        </w:rPr>
        <w:t>Responses will be shared with all tenderers unless commercially confidential.</w:t>
      </w:r>
    </w:p>
    <w:p w14:paraId="5CF92DB4" w14:textId="77777777" w:rsidR="003B5FAD" w:rsidRPr="00463E96" w:rsidRDefault="003B5FAD" w:rsidP="003B5FAD">
      <w:pPr>
        <w:rPr>
          <w:b/>
          <w:bCs/>
          <w:lang w:val="en-GB"/>
        </w:rPr>
      </w:pPr>
      <w:r w:rsidRPr="005C186B">
        <w:rPr>
          <w:b/>
          <w:bCs/>
          <w:lang w:val="en-GB"/>
        </w:rPr>
        <w:t xml:space="preserve">Confidentiality &amp; Data Protection </w:t>
      </w:r>
    </w:p>
    <w:p w14:paraId="5E5B293B" w14:textId="77777777" w:rsidR="003B5FAD" w:rsidRPr="005C186B" w:rsidRDefault="003B5FAD" w:rsidP="003B5FAD">
      <w:pPr>
        <w:rPr>
          <w:lang w:val="en-GB"/>
        </w:rPr>
      </w:pPr>
      <w:r w:rsidRPr="005C186B">
        <w:rPr>
          <w:lang w:val="en-GB"/>
        </w:rPr>
        <w:t>All information provided must be treated as confidential. Tenderers must comply with UK GDPR and the Data Protection Act 2018.</w:t>
      </w:r>
    </w:p>
    <w:p w14:paraId="1BF5BFB4" w14:textId="77777777" w:rsidR="00EE6581" w:rsidRDefault="00EE6581"/>
    <w:sectPr w:rsidR="00EE6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988"/>
    <w:multiLevelType w:val="multilevel"/>
    <w:tmpl w:val="C31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149C"/>
    <w:multiLevelType w:val="multilevel"/>
    <w:tmpl w:val="8DB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379F5"/>
    <w:multiLevelType w:val="multilevel"/>
    <w:tmpl w:val="F2BE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A2B51"/>
    <w:multiLevelType w:val="multilevel"/>
    <w:tmpl w:val="03DC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F011C"/>
    <w:multiLevelType w:val="multilevel"/>
    <w:tmpl w:val="8A3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D7E41"/>
    <w:multiLevelType w:val="multilevel"/>
    <w:tmpl w:val="CC72D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D1B58"/>
    <w:multiLevelType w:val="multilevel"/>
    <w:tmpl w:val="4BCA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0665A"/>
    <w:multiLevelType w:val="multilevel"/>
    <w:tmpl w:val="C4F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F2A52"/>
    <w:multiLevelType w:val="multilevel"/>
    <w:tmpl w:val="6B6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146F5"/>
    <w:multiLevelType w:val="multilevel"/>
    <w:tmpl w:val="E9F027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2D757B"/>
    <w:multiLevelType w:val="multilevel"/>
    <w:tmpl w:val="5E3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45F83"/>
    <w:multiLevelType w:val="multilevel"/>
    <w:tmpl w:val="F97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55882"/>
    <w:multiLevelType w:val="multilevel"/>
    <w:tmpl w:val="7582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37376"/>
    <w:multiLevelType w:val="multilevel"/>
    <w:tmpl w:val="7B3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257B2"/>
    <w:multiLevelType w:val="multilevel"/>
    <w:tmpl w:val="002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A1C17"/>
    <w:multiLevelType w:val="multilevel"/>
    <w:tmpl w:val="8D521F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9C287F"/>
    <w:multiLevelType w:val="multilevel"/>
    <w:tmpl w:val="295E6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D2FC2"/>
    <w:multiLevelType w:val="multilevel"/>
    <w:tmpl w:val="C9BA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824D5"/>
    <w:multiLevelType w:val="multilevel"/>
    <w:tmpl w:val="86D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853B6"/>
    <w:multiLevelType w:val="multilevel"/>
    <w:tmpl w:val="680E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995220">
    <w:abstractNumId w:val="6"/>
  </w:num>
  <w:num w:numId="2" w16cid:durableId="1312830037">
    <w:abstractNumId w:val="19"/>
  </w:num>
  <w:num w:numId="3" w16cid:durableId="621421376">
    <w:abstractNumId w:val="4"/>
  </w:num>
  <w:num w:numId="4" w16cid:durableId="324404502">
    <w:abstractNumId w:val="1"/>
  </w:num>
  <w:num w:numId="5" w16cid:durableId="1553498023">
    <w:abstractNumId w:val="11"/>
  </w:num>
  <w:num w:numId="6" w16cid:durableId="177236868">
    <w:abstractNumId w:val="18"/>
  </w:num>
  <w:num w:numId="7" w16cid:durableId="1206336741">
    <w:abstractNumId w:val="16"/>
  </w:num>
  <w:num w:numId="8" w16cid:durableId="754210231">
    <w:abstractNumId w:val="15"/>
  </w:num>
  <w:num w:numId="9" w16cid:durableId="1472407518">
    <w:abstractNumId w:val="5"/>
  </w:num>
  <w:num w:numId="10" w16cid:durableId="1016923836">
    <w:abstractNumId w:val="9"/>
  </w:num>
  <w:num w:numId="11" w16cid:durableId="1499808836">
    <w:abstractNumId w:val="12"/>
  </w:num>
  <w:num w:numId="12" w16cid:durableId="891769771">
    <w:abstractNumId w:val="10"/>
  </w:num>
  <w:num w:numId="13" w16cid:durableId="23596882">
    <w:abstractNumId w:val="0"/>
  </w:num>
  <w:num w:numId="14" w16cid:durableId="1633754711">
    <w:abstractNumId w:val="17"/>
  </w:num>
  <w:num w:numId="15" w16cid:durableId="784349615">
    <w:abstractNumId w:val="2"/>
  </w:num>
  <w:num w:numId="16" w16cid:durableId="99372429">
    <w:abstractNumId w:val="3"/>
  </w:num>
  <w:num w:numId="17" w16cid:durableId="1591355036">
    <w:abstractNumId w:val="13"/>
  </w:num>
  <w:num w:numId="18" w16cid:durableId="97801586">
    <w:abstractNumId w:val="14"/>
  </w:num>
  <w:num w:numId="19" w16cid:durableId="806553714">
    <w:abstractNumId w:val="7"/>
  </w:num>
  <w:num w:numId="20" w16cid:durableId="968123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AD"/>
    <w:rsid w:val="00024478"/>
    <w:rsid w:val="00027926"/>
    <w:rsid w:val="00047B5D"/>
    <w:rsid w:val="000503E7"/>
    <w:rsid w:val="00090187"/>
    <w:rsid w:val="00124D35"/>
    <w:rsid w:val="00125A1F"/>
    <w:rsid w:val="0015225D"/>
    <w:rsid w:val="001E768E"/>
    <w:rsid w:val="00204B3D"/>
    <w:rsid w:val="002B6777"/>
    <w:rsid w:val="002C36A3"/>
    <w:rsid w:val="002D5D31"/>
    <w:rsid w:val="003176DF"/>
    <w:rsid w:val="003B5FAD"/>
    <w:rsid w:val="00415F05"/>
    <w:rsid w:val="005029CD"/>
    <w:rsid w:val="00537322"/>
    <w:rsid w:val="005478B8"/>
    <w:rsid w:val="00567387"/>
    <w:rsid w:val="00570C35"/>
    <w:rsid w:val="005A26C5"/>
    <w:rsid w:val="00637F55"/>
    <w:rsid w:val="00665A6F"/>
    <w:rsid w:val="00672EA1"/>
    <w:rsid w:val="006851CF"/>
    <w:rsid w:val="00831053"/>
    <w:rsid w:val="009D2EE8"/>
    <w:rsid w:val="00A43FE2"/>
    <w:rsid w:val="00A7202C"/>
    <w:rsid w:val="00A9245F"/>
    <w:rsid w:val="00B5244A"/>
    <w:rsid w:val="00B77FAD"/>
    <w:rsid w:val="00C90F9C"/>
    <w:rsid w:val="00DB7F78"/>
    <w:rsid w:val="00E861B4"/>
    <w:rsid w:val="00EC7EB5"/>
    <w:rsid w:val="00EE6024"/>
    <w:rsid w:val="00EE6581"/>
    <w:rsid w:val="00F34C42"/>
    <w:rsid w:val="00F84589"/>
    <w:rsid w:val="00FD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9EFF2D1"/>
  <w15:chartTrackingRefBased/>
  <w15:docId w15:val="{8B5B6EEA-4F8D-4A8E-9438-F210EB2B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AD"/>
    <w:pPr>
      <w:spacing w:after="200" w:line="240" w:lineRule="auto"/>
    </w:pPr>
    <w:rPr>
      <w:kern w:val="0"/>
      <w:lang w:val="en-US"/>
      <w14:ligatures w14:val="none"/>
    </w:rPr>
  </w:style>
  <w:style w:type="paragraph" w:styleId="Heading1">
    <w:name w:val="heading 1"/>
    <w:basedOn w:val="Normal"/>
    <w:next w:val="Normal"/>
    <w:link w:val="Heading1Char"/>
    <w:uiPriority w:val="9"/>
    <w:qFormat/>
    <w:rsid w:val="00B77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FAD"/>
    <w:rPr>
      <w:rFonts w:eastAsiaTheme="majorEastAsia" w:cstheme="majorBidi"/>
      <w:color w:val="272727" w:themeColor="text1" w:themeTint="D8"/>
    </w:rPr>
  </w:style>
  <w:style w:type="paragraph" w:styleId="Title">
    <w:name w:val="Title"/>
    <w:basedOn w:val="Normal"/>
    <w:next w:val="Normal"/>
    <w:link w:val="TitleChar"/>
    <w:uiPriority w:val="10"/>
    <w:qFormat/>
    <w:rsid w:val="00B77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FAD"/>
    <w:pPr>
      <w:spacing w:before="160"/>
      <w:jc w:val="center"/>
    </w:pPr>
    <w:rPr>
      <w:i/>
      <w:iCs/>
      <w:color w:val="404040" w:themeColor="text1" w:themeTint="BF"/>
    </w:rPr>
  </w:style>
  <w:style w:type="character" w:customStyle="1" w:styleId="QuoteChar">
    <w:name w:val="Quote Char"/>
    <w:basedOn w:val="DefaultParagraphFont"/>
    <w:link w:val="Quote"/>
    <w:uiPriority w:val="29"/>
    <w:rsid w:val="00B77FAD"/>
    <w:rPr>
      <w:i/>
      <w:iCs/>
      <w:color w:val="404040" w:themeColor="text1" w:themeTint="BF"/>
    </w:rPr>
  </w:style>
  <w:style w:type="paragraph" w:styleId="ListParagraph">
    <w:name w:val="List Paragraph"/>
    <w:basedOn w:val="Normal"/>
    <w:qFormat/>
    <w:rsid w:val="00B77FAD"/>
    <w:pPr>
      <w:ind w:left="720"/>
      <w:contextualSpacing/>
    </w:pPr>
  </w:style>
  <w:style w:type="character" w:styleId="IntenseEmphasis">
    <w:name w:val="Intense Emphasis"/>
    <w:basedOn w:val="DefaultParagraphFont"/>
    <w:uiPriority w:val="21"/>
    <w:qFormat/>
    <w:rsid w:val="00B77FAD"/>
    <w:rPr>
      <w:i/>
      <w:iCs/>
      <w:color w:val="0F4761" w:themeColor="accent1" w:themeShade="BF"/>
    </w:rPr>
  </w:style>
  <w:style w:type="paragraph" w:styleId="IntenseQuote">
    <w:name w:val="Intense Quote"/>
    <w:basedOn w:val="Normal"/>
    <w:next w:val="Normal"/>
    <w:link w:val="IntenseQuoteChar"/>
    <w:uiPriority w:val="30"/>
    <w:qFormat/>
    <w:rsid w:val="00B77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FAD"/>
    <w:rPr>
      <w:i/>
      <w:iCs/>
      <w:color w:val="0F4761" w:themeColor="accent1" w:themeShade="BF"/>
    </w:rPr>
  </w:style>
  <w:style w:type="character" w:styleId="IntenseReference">
    <w:name w:val="Intense Reference"/>
    <w:basedOn w:val="DefaultParagraphFont"/>
    <w:uiPriority w:val="32"/>
    <w:qFormat/>
    <w:rsid w:val="00B77FAD"/>
    <w:rPr>
      <w:b/>
      <w:bCs/>
      <w:smallCaps/>
      <w:color w:val="0F4761" w:themeColor="accent1" w:themeShade="BF"/>
      <w:spacing w:val="5"/>
    </w:rPr>
  </w:style>
  <w:style w:type="character" w:styleId="Hyperlink">
    <w:name w:val="Hyperlink"/>
    <w:basedOn w:val="DefaultParagraphFont"/>
    <w:uiPriority w:val="99"/>
    <w:unhideWhenUsed/>
    <w:rsid w:val="003B5FAD"/>
    <w:rPr>
      <w:color w:val="467886" w:themeColor="hyperlink"/>
      <w:u w:val="single"/>
    </w:rPr>
  </w:style>
  <w:style w:type="character" w:styleId="UnresolvedMention">
    <w:name w:val="Unresolved Mention"/>
    <w:basedOn w:val="DefaultParagraphFont"/>
    <w:uiPriority w:val="99"/>
    <w:semiHidden/>
    <w:unhideWhenUsed/>
    <w:rsid w:val="003B5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bie.Simpson@cheshireandwarr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1193</Words>
  <Characters>6803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Simpson</dc:creator>
  <cp:keywords/>
  <dc:description/>
  <cp:lastModifiedBy>Phillippa Meachin</cp:lastModifiedBy>
  <cp:revision>2</cp:revision>
  <dcterms:created xsi:type="dcterms:W3CDTF">2025-12-16T10:00:00Z</dcterms:created>
  <dcterms:modified xsi:type="dcterms:W3CDTF">2025-12-16T10:00:00Z</dcterms:modified>
</cp:coreProperties>
</file>