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49" w:rsidRDefault="00505749" w:rsidP="00DC6DFC">
      <w:pPr>
        <w:pStyle w:val="Heading5"/>
        <w:rPr>
          <w:u w:val="none"/>
        </w:rPr>
      </w:pPr>
    </w:p>
    <w:p w:rsidR="00140B0D" w:rsidRDefault="00140B0D" w:rsidP="00DC6DFC">
      <w:pPr>
        <w:pStyle w:val="Heading5"/>
        <w:rPr>
          <w:u w:val="none"/>
        </w:rPr>
      </w:pPr>
      <w:r w:rsidRPr="00C746EC">
        <w:rPr>
          <w:u w:val="none"/>
        </w:rPr>
        <w:t xml:space="preserve">Cheshire &amp; Warrington </w:t>
      </w:r>
      <w:r w:rsidR="00DC6DFC">
        <w:rPr>
          <w:u w:val="none"/>
        </w:rPr>
        <w:t>Local Enterprise Partnership</w:t>
      </w:r>
    </w:p>
    <w:p w:rsidR="00140B0D" w:rsidRDefault="00140B0D" w:rsidP="00140B0D"/>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C0C0C0"/>
        <w:tblLook w:val="0000" w:firstRow="0" w:lastRow="0" w:firstColumn="0" w:lastColumn="0" w:noHBand="0" w:noVBand="0"/>
      </w:tblPr>
      <w:tblGrid>
        <w:gridCol w:w="6875"/>
        <w:gridCol w:w="3367"/>
      </w:tblGrid>
      <w:tr w:rsidR="006F3AA6" w:rsidRPr="0067573C" w:rsidTr="0067573C">
        <w:tc>
          <w:tcPr>
            <w:tcW w:w="7020" w:type="dxa"/>
            <w:shd w:val="clear" w:color="auto" w:fill="C0C0C0"/>
          </w:tcPr>
          <w:p w:rsidR="006F3AA6" w:rsidRDefault="006F3AA6" w:rsidP="00F344F1">
            <w:pPr>
              <w:rPr>
                <w:rFonts w:ascii="Arial" w:hAnsi="Arial" w:cs="Arial"/>
                <w:b/>
                <w:sz w:val="32"/>
                <w:szCs w:val="32"/>
              </w:rPr>
            </w:pPr>
            <w:r w:rsidRPr="0067573C">
              <w:rPr>
                <w:rFonts w:ascii="Arial" w:hAnsi="Arial" w:cs="Arial"/>
                <w:b/>
                <w:sz w:val="32"/>
                <w:szCs w:val="32"/>
              </w:rPr>
              <w:t>Title</w:t>
            </w:r>
            <w:r w:rsidR="00DC6DFC">
              <w:rPr>
                <w:rFonts w:ascii="Arial" w:hAnsi="Arial" w:cs="Arial"/>
                <w:b/>
                <w:sz w:val="32"/>
                <w:szCs w:val="32"/>
              </w:rPr>
              <w:t>:</w:t>
            </w:r>
          </w:p>
          <w:p w:rsidR="000E0F05" w:rsidRPr="0067573C" w:rsidRDefault="003D2DDC" w:rsidP="00F344F1">
            <w:pPr>
              <w:rPr>
                <w:rFonts w:ascii="Arial" w:hAnsi="Arial" w:cs="Arial"/>
                <w:b/>
                <w:sz w:val="32"/>
                <w:szCs w:val="32"/>
              </w:rPr>
            </w:pPr>
            <w:r>
              <w:rPr>
                <w:rFonts w:ascii="Arial" w:hAnsi="Arial" w:cs="Arial"/>
                <w:b/>
                <w:sz w:val="32"/>
                <w:szCs w:val="32"/>
              </w:rPr>
              <w:t>SEP Refresh</w:t>
            </w:r>
          </w:p>
        </w:tc>
        <w:tc>
          <w:tcPr>
            <w:tcW w:w="3420" w:type="dxa"/>
            <w:shd w:val="clear" w:color="auto" w:fill="C0C0C0"/>
          </w:tcPr>
          <w:p w:rsidR="006F3AA6" w:rsidRPr="0067573C" w:rsidRDefault="00437922" w:rsidP="007B6770">
            <w:pPr>
              <w:rPr>
                <w:rFonts w:ascii="Arial" w:hAnsi="Arial" w:cs="Arial"/>
                <w:b/>
                <w:sz w:val="32"/>
                <w:szCs w:val="32"/>
              </w:rPr>
            </w:pPr>
            <w:r>
              <w:rPr>
                <w:rFonts w:ascii="Arial" w:hAnsi="Arial" w:cs="Arial"/>
                <w:b/>
                <w:sz w:val="32"/>
                <w:szCs w:val="32"/>
              </w:rPr>
              <w:t>Agenda item</w:t>
            </w:r>
            <w:r w:rsidR="000E0F05">
              <w:rPr>
                <w:rFonts w:ascii="Arial" w:hAnsi="Arial" w:cs="Arial"/>
                <w:b/>
                <w:sz w:val="32"/>
                <w:szCs w:val="32"/>
              </w:rPr>
              <w:t xml:space="preserve"> </w:t>
            </w:r>
          </w:p>
        </w:tc>
      </w:tr>
      <w:tr w:rsidR="006F3AA6" w:rsidRPr="0067573C" w:rsidTr="0067573C">
        <w:tc>
          <w:tcPr>
            <w:tcW w:w="7020" w:type="dxa"/>
            <w:shd w:val="clear" w:color="auto" w:fill="C0C0C0"/>
          </w:tcPr>
          <w:p w:rsidR="006F3AA6" w:rsidRPr="0067573C" w:rsidRDefault="006F3AA6" w:rsidP="006F0B3F">
            <w:pPr>
              <w:rPr>
                <w:rFonts w:ascii="Arial" w:hAnsi="Arial" w:cs="Arial"/>
                <w:b/>
                <w:sz w:val="32"/>
                <w:szCs w:val="32"/>
              </w:rPr>
            </w:pPr>
          </w:p>
        </w:tc>
        <w:tc>
          <w:tcPr>
            <w:tcW w:w="3420" w:type="dxa"/>
            <w:shd w:val="clear" w:color="auto" w:fill="C0C0C0"/>
          </w:tcPr>
          <w:p w:rsidR="006F3AA6" w:rsidRPr="0067573C" w:rsidRDefault="006F3AA6" w:rsidP="00436E40">
            <w:pPr>
              <w:rPr>
                <w:rFonts w:ascii="Arial" w:hAnsi="Arial" w:cs="Arial"/>
                <w:sz w:val="32"/>
                <w:szCs w:val="32"/>
              </w:rPr>
            </w:pPr>
          </w:p>
        </w:tc>
      </w:tr>
      <w:tr w:rsidR="006F3AA6" w:rsidRPr="0067573C" w:rsidTr="0067573C">
        <w:tc>
          <w:tcPr>
            <w:tcW w:w="7020" w:type="dxa"/>
            <w:shd w:val="clear" w:color="auto" w:fill="C0C0C0"/>
          </w:tcPr>
          <w:p w:rsidR="0097059C" w:rsidRDefault="006F3AA6" w:rsidP="00F344F1">
            <w:pPr>
              <w:rPr>
                <w:rFonts w:ascii="Arial" w:hAnsi="Arial" w:cs="Arial"/>
                <w:b/>
                <w:sz w:val="32"/>
                <w:szCs w:val="32"/>
              </w:rPr>
            </w:pPr>
            <w:r w:rsidRPr="0067573C">
              <w:rPr>
                <w:rFonts w:ascii="Arial" w:hAnsi="Arial" w:cs="Arial"/>
                <w:b/>
                <w:sz w:val="32"/>
                <w:szCs w:val="32"/>
              </w:rPr>
              <w:t>Prepared by:</w:t>
            </w:r>
          </w:p>
          <w:p w:rsidR="006F3AA6" w:rsidRPr="0067573C" w:rsidRDefault="003D2DDC" w:rsidP="00F344F1">
            <w:pPr>
              <w:rPr>
                <w:rFonts w:ascii="Arial" w:hAnsi="Arial" w:cs="Arial"/>
                <w:b/>
                <w:sz w:val="32"/>
                <w:szCs w:val="32"/>
              </w:rPr>
            </w:pPr>
            <w:r w:rsidRPr="003D2DDC">
              <w:rPr>
                <w:rFonts w:ascii="Arial" w:hAnsi="Arial" w:cs="Arial"/>
                <w:b/>
                <w:sz w:val="32"/>
                <w:szCs w:val="32"/>
              </w:rPr>
              <w:t>Andy Hulme</w:t>
            </w:r>
          </w:p>
        </w:tc>
        <w:tc>
          <w:tcPr>
            <w:tcW w:w="3420" w:type="dxa"/>
            <w:shd w:val="clear" w:color="auto" w:fill="C0C0C0"/>
          </w:tcPr>
          <w:p w:rsidR="006F3AA6" w:rsidRDefault="006F3AA6" w:rsidP="00F344F1">
            <w:pPr>
              <w:rPr>
                <w:rFonts w:ascii="Arial" w:hAnsi="Arial" w:cs="Arial"/>
                <w:b/>
                <w:sz w:val="32"/>
                <w:szCs w:val="32"/>
              </w:rPr>
            </w:pPr>
            <w:r w:rsidRPr="0067573C">
              <w:rPr>
                <w:rFonts w:ascii="Arial" w:hAnsi="Arial" w:cs="Arial"/>
                <w:b/>
                <w:sz w:val="32"/>
                <w:szCs w:val="32"/>
              </w:rPr>
              <w:t xml:space="preserve">Date of Meeting </w:t>
            </w:r>
          </w:p>
          <w:p w:rsidR="006F0B3F" w:rsidRPr="0067573C" w:rsidRDefault="00250B03" w:rsidP="00F344F1">
            <w:pPr>
              <w:rPr>
                <w:rFonts w:ascii="Arial" w:hAnsi="Arial" w:cs="Arial"/>
                <w:b/>
                <w:sz w:val="32"/>
                <w:szCs w:val="32"/>
              </w:rPr>
            </w:pPr>
            <w:r>
              <w:rPr>
                <w:rFonts w:ascii="Arial" w:hAnsi="Arial" w:cs="Arial"/>
                <w:b/>
                <w:sz w:val="32"/>
                <w:szCs w:val="32"/>
              </w:rPr>
              <w:t>21</w:t>
            </w:r>
            <w:r w:rsidRPr="00250B03">
              <w:rPr>
                <w:rFonts w:ascii="Arial" w:hAnsi="Arial" w:cs="Arial"/>
                <w:b/>
                <w:sz w:val="32"/>
                <w:szCs w:val="32"/>
                <w:vertAlign w:val="superscript"/>
              </w:rPr>
              <w:t>st</w:t>
            </w:r>
            <w:r>
              <w:rPr>
                <w:rFonts w:ascii="Arial" w:hAnsi="Arial" w:cs="Arial"/>
                <w:b/>
                <w:sz w:val="32"/>
                <w:szCs w:val="32"/>
              </w:rPr>
              <w:t xml:space="preserve"> June</w:t>
            </w:r>
            <w:r w:rsidR="00CD4BF1">
              <w:rPr>
                <w:rFonts w:ascii="Arial" w:hAnsi="Arial" w:cs="Arial"/>
                <w:b/>
                <w:sz w:val="32"/>
                <w:szCs w:val="32"/>
              </w:rPr>
              <w:t xml:space="preserve"> </w:t>
            </w:r>
            <w:r w:rsidR="004F5CE0">
              <w:rPr>
                <w:rFonts w:ascii="Arial" w:hAnsi="Arial" w:cs="Arial"/>
                <w:b/>
                <w:sz w:val="32"/>
                <w:szCs w:val="32"/>
              </w:rPr>
              <w:t>201</w:t>
            </w:r>
            <w:r w:rsidR="00FD699C">
              <w:rPr>
                <w:rFonts w:ascii="Arial" w:hAnsi="Arial" w:cs="Arial"/>
                <w:b/>
                <w:sz w:val="32"/>
                <w:szCs w:val="32"/>
              </w:rPr>
              <w:t>7</w:t>
            </w:r>
          </w:p>
        </w:tc>
      </w:tr>
      <w:tr w:rsidR="006F3AA6" w:rsidRPr="0067573C" w:rsidTr="0067573C">
        <w:tc>
          <w:tcPr>
            <w:tcW w:w="7020" w:type="dxa"/>
            <w:shd w:val="clear" w:color="auto" w:fill="C0C0C0"/>
          </w:tcPr>
          <w:p w:rsidR="006F3AA6" w:rsidRPr="0067573C" w:rsidRDefault="006F3AA6" w:rsidP="00A17406">
            <w:pPr>
              <w:rPr>
                <w:rFonts w:ascii="Arial" w:hAnsi="Arial" w:cs="Arial"/>
                <w:b/>
                <w:sz w:val="32"/>
                <w:szCs w:val="32"/>
              </w:rPr>
            </w:pPr>
          </w:p>
        </w:tc>
        <w:tc>
          <w:tcPr>
            <w:tcW w:w="3420" w:type="dxa"/>
            <w:shd w:val="clear" w:color="auto" w:fill="C0C0C0"/>
          </w:tcPr>
          <w:p w:rsidR="006F3AA6" w:rsidRPr="0067573C" w:rsidRDefault="006F3AA6" w:rsidP="00F344F1">
            <w:pPr>
              <w:rPr>
                <w:rFonts w:ascii="Arial" w:hAnsi="Arial" w:cs="Arial"/>
                <w:b/>
                <w:sz w:val="32"/>
                <w:szCs w:val="32"/>
              </w:rPr>
            </w:pPr>
          </w:p>
        </w:tc>
      </w:tr>
    </w:tbl>
    <w:p w:rsidR="00140B0D" w:rsidRDefault="00140B0D" w:rsidP="00140B0D"/>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B3B3B3"/>
        <w:tblLook w:val="01E0" w:firstRow="1" w:lastRow="1" w:firstColumn="1" w:lastColumn="1" w:noHBand="0" w:noVBand="0"/>
      </w:tblPr>
      <w:tblGrid>
        <w:gridCol w:w="10242"/>
      </w:tblGrid>
      <w:tr w:rsidR="00140B0D" w:rsidTr="0067573C">
        <w:tc>
          <w:tcPr>
            <w:tcW w:w="10440" w:type="dxa"/>
            <w:shd w:val="clear" w:color="auto" w:fill="B3B3B3"/>
          </w:tcPr>
          <w:p w:rsidR="00140B0D" w:rsidRPr="0067573C" w:rsidRDefault="00140B0D" w:rsidP="0067573C">
            <w:pPr>
              <w:tabs>
                <w:tab w:val="left" w:pos="432"/>
              </w:tabs>
              <w:rPr>
                <w:rFonts w:cs="Arial"/>
                <w:b/>
              </w:rPr>
            </w:pPr>
          </w:p>
          <w:p w:rsidR="00140B0D" w:rsidRDefault="00140B0D" w:rsidP="0067573C">
            <w:pPr>
              <w:pStyle w:val="Heading3"/>
              <w:numPr>
                <w:ilvl w:val="0"/>
                <w:numId w:val="1"/>
              </w:numPr>
              <w:tabs>
                <w:tab w:val="left" w:pos="432"/>
              </w:tabs>
              <w:ind w:left="252" w:right="279" w:firstLine="0"/>
            </w:pPr>
            <w:r w:rsidRPr="00140B0D">
              <w:t>Executive Summary:</w:t>
            </w:r>
          </w:p>
          <w:p w:rsidR="00C45F4C" w:rsidRDefault="00C45F4C" w:rsidP="000E0F05">
            <w:pPr>
              <w:ind w:left="252"/>
              <w:rPr>
                <w:rFonts w:ascii="Arial" w:hAnsi="Arial" w:cs="Arial"/>
              </w:rPr>
            </w:pPr>
          </w:p>
          <w:p w:rsidR="00124CE8" w:rsidRPr="000E0F05" w:rsidRDefault="000E0F05" w:rsidP="000E0F05">
            <w:pPr>
              <w:ind w:left="252"/>
              <w:rPr>
                <w:rFonts w:ascii="Arial" w:hAnsi="Arial" w:cs="Arial"/>
              </w:rPr>
            </w:pPr>
            <w:r w:rsidRPr="000E0F05">
              <w:rPr>
                <w:rFonts w:ascii="Arial" w:hAnsi="Arial" w:cs="Arial"/>
              </w:rPr>
              <w:t xml:space="preserve">This report </w:t>
            </w:r>
            <w:r w:rsidR="003D2DDC">
              <w:rPr>
                <w:rFonts w:ascii="Arial" w:hAnsi="Arial" w:cs="Arial"/>
              </w:rPr>
              <w:t>updates the Board on the development of the refreshed Strategic Economic Plan</w:t>
            </w:r>
            <w:r w:rsidR="00250B03">
              <w:rPr>
                <w:rFonts w:ascii="Arial" w:hAnsi="Arial" w:cs="Arial"/>
              </w:rPr>
              <w:t xml:space="preserve"> including the programme for its publication and dissemination and the development of its supporting delivery plans and strategies</w:t>
            </w:r>
            <w:r w:rsidR="003D2DDC">
              <w:rPr>
                <w:rFonts w:ascii="Arial" w:hAnsi="Arial" w:cs="Arial"/>
              </w:rPr>
              <w:t>.</w:t>
            </w:r>
            <w:r w:rsidR="00250B03">
              <w:rPr>
                <w:rFonts w:ascii="Arial" w:hAnsi="Arial" w:cs="Arial"/>
              </w:rPr>
              <w:t xml:space="preserve"> The current draft of the designed-up document is attached. </w:t>
            </w:r>
          </w:p>
          <w:p w:rsidR="004D4D03" w:rsidRDefault="004D4D03" w:rsidP="0011446E">
            <w:pPr>
              <w:ind w:left="284" w:right="397"/>
              <w:jc w:val="both"/>
              <w:rPr>
                <w:rFonts w:ascii="Arial" w:hAnsi="Arial" w:cs="Arial"/>
              </w:rPr>
            </w:pPr>
          </w:p>
          <w:p w:rsidR="00204AD2" w:rsidRPr="00C44CC5" w:rsidRDefault="00204AD2" w:rsidP="00C44CC5"/>
          <w:p w:rsidR="00140B0D" w:rsidRDefault="00140B0D" w:rsidP="0067573C">
            <w:pPr>
              <w:pStyle w:val="Heading3"/>
              <w:numPr>
                <w:ilvl w:val="0"/>
                <w:numId w:val="1"/>
              </w:numPr>
              <w:tabs>
                <w:tab w:val="left" w:pos="432"/>
              </w:tabs>
              <w:ind w:left="252" w:right="279" w:firstLine="0"/>
            </w:pPr>
            <w:r w:rsidRPr="00140B0D">
              <w:t>Recommendations / Action Requested:</w:t>
            </w:r>
          </w:p>
          <w:p w:rsidR="007E2CF5" w:rsidRDefault="007E2CF5" w:rsidP="007E2CF5"/>
          <w:p w:rsidR="003D2DDC" w:rsidRDefault="003D2DDC" w:rsidP="003D2DDC">
            <w:pPr>
              <w:rPr>
                <w:rFonts w:ascii="Arial" w:hAnsi="Arial" w:cs="Arial"/>
              </w:rPr>
            </w:pPr>
            <w:r>
              <w:rPr>
                <w:rFonts w:ascii="Arial" w:hAnsi="Arial" w:cs="Arial"/>
              </w:rPr>
              <w:t xml:space="preserve">   </w:t>
            </w:r>
            <w:r w:rsidR="000E0F05" w:rsidRPr="003D2DDC">
              <w:rPr>
                <w:rFonts w:ascii="Arial" w:hAnsi="Arial" w:cs="Arial"/>
              </w:rPr>
              <w:t>The Board is asked to</w:t>
            </w:r>
            <w:r w:rsidRPr="003D2DDC">
              <w:rPr>
                <w:rFonts w:ascii="Arial" w:hAnsi="Arial" w:cs="Arial"/>
              </w:rPr>
              <w:t>: -</w:t>
            </w:r>
          </w:p>
          <w:p w:rsidR="00B864CE" w:rsidRPr="003D2DDC" w:rsidRDefault="00B864CE" w:rsidP="003D2DDC">
            <w:pPr>
              <w:rPr>
                <w:rFonts w:ascii="Arial" w:hAnsi="Arial" w:cs="Arial"/>
              </w:rPr>
            </w:pPr>
          </w:p>
          <w:p w:rsidR="00B864CE" w:rsidRDefault="00ED0ED2" w:rsidP="003D2DDC">
            <w:pPr>
              <w:pStyle w:val="ListParagraph"/>
              <w:numPr>
                <w:ilvl w:val="0"/>
                <w:numId w:val="30"/>
              </w:numPr>
              <w:rPr>
                <w:rFonts w:ascii="Arial" w:hAnsi="Arial" w:cs="Arial"/>
              </w:rPr>
            </w:pPr>
            <w:r>
              <w:rPr>
                <w:rFonts w:ascii="Arial" w:hAnsi="Arial" w:cs="Arial"/>
              </w:rPr>
              <w:t xml:space="preserve">Confirm it is content with </w:t>
            </w:r>
            <w:r w:rsidR="00B864CE">
              <w:rPr>
                <w:rFonts w:ascii="Arial" w:hAnsi="Arial" w:cs="Arial"/>
              </w:rPr>
              <w:t xml:space="preserve">the draft SEP and the proposed programme for </w:t>
            </w:r>
            <w:r w:rsidR="004226AF">
              <w:rPr>
                <w:rFonts w:ascii="Arial" w:hAnsi="Arial" w:cs="Arial"/>
              </w:rPr>
              <w:t xml:space="preserve">launch and </w:t>
            </w:r>
            <w:r w:rsidR="00B864CE">
              <w:rPr>
                <w:rFonts w:ascii="Arial" w:hAnsi="Arial" w:cs="Arial"/>
              </w:rPr>
              <w:t>dissemination</w:t>
            </w:r>
            <w:r w:rsidR="00B14E34">
              <w:rPr>
                <w:rFonts w:ascii="Arial" w:hAnsi="Arial" w:cs="Arial"/>
              </w:rPr>
              <w:t xml:space="preserve"> of key mess</w:t>
            </w:r>
            <w:r w:rsidR="004226AF">
              <w:rPr>
                <w:rFonts w:ascii="Arial" w:hAnsi="Arial" w:cs="Arial"/>
              </w:rPr>
              <w:t>ages</w:t>
            </w:r>
            <w:r>
              <w:rPr>
                <w:rFonts w:ascii="Arial" w:hAnsi="Arial" w:cs="Arial"/>
              </w:rPr>
              <w:t>.</w:t>
            </w:r>
          </w:p>
          <w:p w:rsidR="00ED0ED2" w:rsidRDefault="00ED0ED2" w:rsidP="00ED0ED2">
            <w:pPr>
              <w:pStyle w:val="ListParagraph"/>
              <w:numPr>
                <w:ilvl w:val="0"/>
                <w:numId w:val="30"/>
              </w:numPr>
              <w:rPr>
                <w:rFonts w:ascii="Arial" w:hAnsi="Arial" w:cs="Arial"/>
              </w:rPr>
            </w:pPr>
            <w:r>
              <w:rPr>
                <w:rFonts w:ascii="Arial" w:hAnsi="Arial" w:cs="Arial"/>
              </w:rPr>
              <w:t>N</w:t>
            </w:r>
            <w:r w:rsidRPr="003D2DDC">
              <w:rPr>
                <w:rFonts w:ascii="Arial" w:hAnsi="Arial" w:cs="Arial"/>
              </w:rPr>
              <w:t xml:space="preserve">ote the </w:t>
            </w:r>
            <w:r>
              <w:rPr>
                <w:rFonts w:ascii="Arial" w:hAnsi="Arial" w:cs="Arial"/>
              </w:rPr>
              <w:t xml:space="preserve">further </w:t>
            </w:r>
            <w:r w:rsidRPr="003D2DDC">
              <w:rPr>
                <w:rFonts w:ascii="Arial" w:hAnsi="Arial" w:cs="Arial"/>
              </w:rPr>
              <w:t>contents of this report.</w:t>
            </w:r>
          </w:p>
          <w:p w:rsidR="008329A2" w:rsidRDefault="008329A2" w:rsidP="008329A2">
            <w:pPr>
              <w:rPr>
                <w:rFonts w:ascii="Arial" w:hAnsi="Arial" w:cs="Arial"/>
              </w:rPr>
            </w:pPr>
          </w:p>
          <w:p w:rsidR="008329A2" w:rsidRPr="0067573C" w:rsidRDefault="008329A2" w:rsidP="008329A2">
            <w:pPr>
              <w:rPr>
                <w:rFonts w:cs="Arial"/>
                <w:b/>
              </w:rPr>
            </w:pPr>
          </w:p>
        </w:tc>
      </w:tr>
    </w:tbl>
    <w:p w:rsidR="00140B0D" w:rsidRPr="006F3AA6" w:rsidRDefault="00140B0D" w:rsidP="00140B0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140B0D" w:rsidTr="0067573C">
        <w:tc>
          <w:tcPr>
            <w:tcW w:w="10440" w:type="dxa"/>
          </w:tcPr>
          <w:p w:rsidR="00140B0D" w:rsidRPr="00140B0D" w:rsidRDefault="004A32C1" w:rsidP="005C1D1C">
            <w:pPr>
              <w:pStyle w:val="Heading3"/>
              <w:numPr>
                <w:ilvl w:val="0"/>
                <w:numId w:val="1"/>
              </w:numPr>
              <w:tabs>
                <w:tab w:val="clear" w:pos="720"/>
                <w:tab w:val="num" w:pos="180"/>
              </w:tabs>
              <w:ind w:left="180" w:firstLine="0"/>
            </w:pPr>
            <w:r>
              <w:lastRenderedPageBreak/>
              <w:t>Details</w:t>
            </w:r>
            <w:r w:rsidR="00140B0D" w:rsidRPr="00140B0D">
              <w:t>:</w:t>
            </w:r>
          </w:p>
          <w:p w:rsidR="00140B0D" w:rsidRDefault="00140B0D" w:rsidP="005C1D1C">
            <w:pPr>
              <w:tabs>
                <w:tab w:val="num" w:pos="180"/>
              </w:tabs>
              <w:ind w:left="180" w:right="278"/>
              <w:jc w:val="both"/>
              <w:rPr>
                <w:rFonts w:ascii="Arial" w:hAnsi="Arial" w:cs="Arial"/>
              </w:rPr>
            </w:pPr>
          </w:p>
          <w:p w:rsidR="00F774A0" w:rsidRDefault="009064C5" w:rsidP="009064C5">
            <w:pPr>
              <w:ind w:left="360"/>
              <w:rPr>
                <w:rFonts w:ascii="Arial" w:hAnsi="Arial" w:cs="Arial"/>
                <w:b/>
              </w:rPr>
            </w:pPr>
            <w:r>
              <w:rPr>
                <w:rFonts w:ascii="Arial" w:hAnsi="Arial" w:cs="Arial"/>
                <w:b/>
              </w:rPr>
              <w:t>The Refreshed SEP</w:t>
            </w:r>
          </w:p>
          <w:p w:rsidR="009064C5" w:rsidRPr="003D2DDC" w:rsidRDefault="009064C5" w:rsidP="009064C5">
            <w:pPr>
              <w:ind w:left="360"/>
              <w:rPr>
                <w:rFonts w:ascii="Arial" w:hAnsi="Arial" w:cs="Arial"/>
                <w:b/>
              </w:rPr>
            </w:pPr>
          </w:p>
          <w:p w:rsidR="00250B03" w:rsidRDefault="00250B03" w:rsidP="001F52EA">
            <w:pPr>
              <w:pStyle w:val="ListParagraph"/>
              <w:numPr>
                <w:ilvl w:val="0"/>
                <w:numId w:val="31"/>
              </w:numPr>
              <w:tabs>
                <w:tab w:val="left" w:pos="1928"/>
              </w:tabs>
              <w:rPr>
                <w:rFonts w:ascii="Arial" w:hAnsi="Arial" w:cs="Arial"/>
              </w:rPr>
            </w:pPr>
            <w:r w:rsidRPr="00250B03">
              <w:rPr>
                <w:rFonts w:ascii="Arial" w:hAnsi="Arial" w:cs="Arial"/>
              </w:rPr>
              <w:t>At its meeting in</w:t>
            </w:r>
            <w:r>
              <w:rPr>
                <w:rFonts w:ascii="Arial" w:hAnsi="Arial" w:cs="Arial"/>
              </w:rPr>
              <w:t xml:space="preserve"> April 2017, the LEP Board adopted the refreshed Strategic Economic Plan, subject to some minor amendments and additions. </w:t>
            </w:r>
          </w:p>
          <w:p w:rsidR="00250B03" w:rsidRDefault="00250B03" w:rsidP="00250B03">
            <w:pPr>
              <w:pStyle w:val="ListParagraph"/>
              <w:tabs>
                <w:tab w:val="left" w:pos="1928"/>
              </w:tabs>
              <w:ind w:left="360"/>
              <w:rPr>
                <w:rFonts w:ascii="Arial" w:hAnsi="Arial" w:cs="Arial"/>
              </w:rPr>
            </w:pPr>
          </w:p>
          <w:p w:rsidR="00ED0ED2" w:rsidRPr="00ED0ED2" w:rsidRDefault="008F47C4" w:rsidP="001F52EA">
            <w:pPr>
              <w:pStyle w:val="ListParagraph"/>
              <w:numPr>
                <w:ilvl w:val="0"/>
                <w:numId w:val="31"/>
              </w:numPr>
              <w:tabs>
                <w:tab w:val="left" w:pos="1928"/>
              </w:tabs>
              <w:rPr>
                <w:rFonts w:ascii="Arial" w:hAnsi="Arial" w:cs="Arial"/>
                <w:b/>
                <w:i/>
              </w:rPr>
            </w:pPr>
            <w:r>
              <w:rPr>
                <w:rFonts w:ascii="Arial" w:hAnsi="Arial" w:cs="Arial"/>
              </w:rPr>
              <w:t>Most of</w:t>
            </w:r>
            <w:r w:rsidR="00250B03">
              <w:rPr>
                <w:rFonts w:ascii="Arial" w:hAnsi="Arial" w:cs="Arial"/>
              </w:rPr>
              <w:t xml:space="preserve"> those changes have now </w:t>
            </w:r>
            <w:r>
              <w:rPr>
                <w:rFonts w:ascii="Arial" w:hAnsi="Arial" w:cs="Arial"/>
              </w:rPr>
              <w:t>been made</w:t>
            </w:r>
            <w:r w:rsidR="00951D3D">
              <w:rPr>
                <w:rFonts w:ascii="Arial" w:hAnsi="Arial" w:cs="Arial"/>
              </w:rPr>
              <w:t>, including a short (two-page) Executive Summary which sets out the key messages,</w:t>
            </w:r>
            <w:r>
              <w:rPr>
                <w:rFonts w:ascii="Arial" w:hAnsi="Arial" w:cs="Arial"/>
              </w:rPr>
              <w:t xml:space="preserve"> and the SEP is now in the process of being graphically designed ready for publication and launch in early July. </w:t>
            </w:r>
            <w:r w:rsidR="009064C5">
              <w:rPr>
                <w:rFonts w:ascii="Arial" w:hAnsi="Arial" w:cs="Arial"/>
              </w:rPr>
              <w:t>The current working draft of the document for publication and upload t</w:t>
            </w:r>
            <w:r w:rsidR="004226AF">
              <w:rPr>
                <w:rFonts w:ascii="Arial" w:hAnsi="Arial" w:cs="Arial"/>
              </w:rPr>
              <w:t>o the LEP</w:t>
            </w:r>
            <w:r w:rsidR="00917B78">
              <w:rPr>
                <w:rFonts w:ascii="Arial" w:hAnsi="Arial" w:cs="Arial"/>
              </w:rPr>
              <w:t xml:space="preserve"> website</w:t>
            </w:r>
            <w:bookmarkStart w:id="0" w:name="_GoBack"/>
            <w:bookmarkEnd w:id="0"/>
            <w:r w:rsidR="004226AF">
              <w:rPr>
                <w:rFonts w:ascii="Arial" w:hAnsi="Arial" w:cs="Arial"/>
              </w:rPr>
              <w:t xml:space="preserve"> </w:t>
            </w:r>
            <w:r w:rsidR="004A5081">
              <w:rPr>
                <w:rFonts w:ascii="Arial" w:hAnsi="Arial" w:cs="Arial"/>
              </w:rPr>
              <w:t>will be circulated in advance of the meeting.</w:t>
            </w:r>
            <w:r w:rsidR="009064C5">
              <w:rPr>
                <w:rFonts w:ascii="Arial" w:hAnsi="Arial" w:cs="Arial"/>
              </w:rPr>
              <w:t xml:space="preserve"> </w:t>
            </w:r>
          </w:p>
          <w:p w:rsidR="00ED0ED2" w:rsidRPr="00ED0ED2" w:rsidRDefault="00ED0ED2" w:rsidP="00ED0ED2">
            <w:pPr>
              <w:pStyle w:val="ListParagraph"/>
              <w:rPr>
                <w:rFonts w:ascii="Arial" w:hAnsi="Arial" w:cs="Arial"/>
                <w:b/>
                <w:i/>
              </w:rPr>
            </w:pPr>
          </w:p>
          <w:p w:rsidR="00BC58D8" w:rsidRPr="009064C5" w:rsidRDefault="009064C5" w:rsidP="00ED0ED2">
            <w:pPr>
              <w:pStyle w:val="ListParagraph"/>
              <w:tabs>
                <w:tab w:val="left" w:pos="1928"/>
              </w:tabs>
              <w:ind w:left="360"/>
              <w:rPr>
                <w:rFonts w:ascii="Arial" w:hAnsi="Arial" w:cs="Arial"/>
                <w:b/>
                <w:i/>
              </w:rPr>
            </w:pPr>
            <w:r w:rsidRPr="009064C5">
              <w:rPr>
                <w:rFonts w:ascii="Arial" w:hAnsi="Arial" w:cs="Arial"/>
                <w:b/>
                <w:i/>
              </w:rPr>
              <w:t>The Board is asked to</w:t>
            </w:r>
            <w:r w:rsidR="00ED0ED2">
              <w:rPr>
                <w:rFonts w:ascii="Arial" w:hAnsi="Arial" w:cs="Arial"/>
                <w:b/>
                <w:i/>
              </w:rPr>
              <w:t xml:space="preserve"> confirm it is content with </w:t>
            </w:r>
            <w:r w:rsidRPr="009064C5">
              <w:rPr>
                <w:rFonts w:ascii="Arial" w:hAnsi="Arial" w:cs="Arial"/>
                <w:b/>
                <w:i/>
              </w:rPr>
              <w:t>the draft in terms of format and content.</w:t>
            </w:r>
          </w:p>
          <w:p w:rsidR="008F47C4" w:rsidRPr="008F47C4" w:rsidRDefault="008F47C4" w:rsidP="008F47C4">
            <w:pPr>
              <w:pStyle w:val="ListParagraph"/>
              <w:rPr>
                <w:rFonts w:ascii="Arial" w:hAnsi="Arial" w:cs="Arial"/>
              </w:rPr>
            </w:pPr>
          </w:p>
          <w:p w:rsidR="009064C5" w:rsidRPr="009064C5" w:rsidRDefault="00C67327" w:rsidP="009064C5">
            <w:pPr>
              <w:tabs>
                <w:tab w:val="left" w:pos="1928"/>
              </w:tabs>
              <w:ind w:left="360"/>
              <w:rPr>
                <w:rFonts w:ascii="Arial" w:hAnsi="Arial" w:cs="Arial"/>
                <w:b/>
              </w:rPr>
            </w:pPr>
            <w:r>
              <w:rPr>
                <w:rFonts w:ascii="Arial" w:hAnsi="Arial" w:cs="Arial"/>
                <w:b/>
              </w:rPr>
              <w:t xml:space="preserve">Launch and </w:t>
            </w:r>
            <w:r w:rsidR="009064C5" w:rsidRPr="009064C5">
              <w:rPr>
                <w:rFonts w:ascii="Arial" w:hAnsi="Arial" w:cs="Arial"/>
                <w:b/>
              </w:rPr>
              <w:t>Dissemination of the SEP and Key Messages</w:t>
            </w:r>
          </w:p>
          <w:p w:rsidR="00951D3D" w:rsidRPr="00951D3D" w:rsidRDefault="00951D3D" w:rsidP="00951D3D">
            <w:pPr>
              <w:pStyle w:val="ListParagraph"/>
              <w:rPr>
                <w:rFonts w:ascii="Arial" w:hAnsi="Arial" w:cs="Arial"/>
              </w:rPr>
            </w:pPr>
          </w:p>
          <w:p w:rsidR="00ED0ED2" w:rsidRDefault="00ED0ED2" w:rsidP="008F47C4">
            <w:pPr>
              <w:pStyle w:val="ListParagraph"/>
              <w:numPr>
                <w:ilvl w:val="0"/>
                <w:numId w:val="31"/>
              </w:numPr>
              <w:tabs>
                <w:tab w:val="left" w:pos="1928"/>
              </w:tabs>
              <w:rPr>
                <w:rFonts w:ascii="Arial" w:hAnsi="Arial" w:cs="Arial"/>
              </w:rPr>
            </w:pPr>
            <w:r>
              <w:rPr>
                <w:rFonts w:ascii="Arial" w:hAnsi="Arial" w:cs="Arial"/>
              </w:rPr>
              <w:t xml:space="preserve">We are now at the stage where we can plan for the </w:t>
            </w:r>
            <w:r w:rsidR="00C67327">
              <w:rPr>
                <w:rFonts w:ascii="Arial" w:hAnsi="Arial" w:cs="Arial"/>
              </w:rPr>
              <w:t xml:space="preserve">launch </w:t>
            </w:r>
            <w:r>
              <w:rPr>
                <w:rFonts w:ascii="Arial" w:hAnsi="Arial" w:cs="Arial"/>
              </w:rPr>
              <w:t xml:space="preserve">and </w:t>
            </w:r>
            <w:r w:rsidR="00951D3D">
              <w:rPr>
                <w:rFonts w:ascii="Arial" w:hAnsi="Arial" w:cs="Arial"/>
              </w:rPr>
              <w:t>promot</w:t>
            </w:r>
            <w:r>
              <w:rPr>
                <w:rFonts w:ascii="Arial" w:hAnsi="Arial" w:cs="Arial"/>
              </w:rPr>
              <w:t>ion of</w:t>
            </w:r>
            <w:r w:rsidR="00951D3D">
              <w:rPr>
                <w:rFonts w:ascii="Arial" w:hAnsi="Arial" w:cs="Arial"/>
              </w:rPr>
              <w:t xml:space="preserve"> the refreshed SEP</w:t>
            </w:r>
            <w:r w:rsidR="00C67327">
              <w:rPr>
                <w:rFonts w:ascii="Arial" w:hAnsi="Arial" w:cs="Arial"/>
              </w:rPr>
              <w:t xml:space="preserve"> and the </w:t>
            </w:r>
            <w:r w:rsidR="00951D3D">
              <w:rPr>
                <w:rFonts w:ascii="Arial" w:hAnsi="Arial" w:cs="Arial"/>
              </w:rPr>
              <w:t>disseminat</w:t>
            </w:r>
            <w:r w:rsidR="00C67327">
              <w:rPr>
                <w:rFonts w:ascii="Arial" w:hAnsi="Arial" w:cs="Arial"/>
              </w:rPr>
              <w:t>ion of</w:t>
            </w:r>
            <w:r w:rsidR="00951D3D">
              <w:rPr>
                <w:rFonts w:ascii="Arial" w:hAnsi="Arial" w:cs="Arial"/>
              </w:rPr>
              <w:t xml:space="preserve"> its key messages. </w:t>
            </w:r>
          </w:p>
          <w:p w:rsidR="00587C9B" w:rsidRDefault="00587C9B" w:rsidP="00587C9B">
            <w:pPr>
              <w:pStyle w:val="ListParagraph"/>
              <w:tabs>
                <w:tab w:val="left" w:pos="1928"/>
              </w:tabs>
              <w:ind w:left="360"/>
              <w:rPr>
                <w:rFonts w:ascii="Arial" w:hAnsi="Arial" w:cs="Arial"/>
              </w:rPr>
            </w:pPr>
          </w:p>
          <w:p w:rsidR="00587C9B" w:rsidRDefault="00587C9B" w:rsidP="008F47C4">
            <w:pPr>
              <w:pStyle w:val="ListParagraph"/>
              <w:numPr>
                <w:ilvl w:val="0"/>
                <w:numId w:val="31"/>
              </w:numPr>
              <w:tabs>
                <w:tab w:val="left" w:pos="1928"/>
              </w:tabs>
              <w:rPr>
                <w:rFonts w:ascii="Arial" w:hAnsi="Arial" w:cs="Arial"/>
              </w:rPr>
            </w:pPr>
            <w:r>
              <w:rPr>
                <w:rFonts w:ascii="Arial" w:hAnsi="Arial" w:cs="Arial"/>
              </w:rPr>
              <w:t>In terms of launching the SEP, we would recommend doing this at the Cheshire &amp; Warrington Sub-Regional Conference on 7</w:t>
            </w:r>
            <w:r w:rsidRPr="00587C9B">
              <w:rPr>
                <w:rFonts w:ascii="Arial" w:hAnsi="Arial" w:cs="Arial"/>
                <w:vertAlign w:val="superscript"/>
              </w:rPr>
              <w:t>th</w:t>
            </w:r>
            <w:r>
              <w:rPr>
                <w:rFonts w:ascii="Arial" w:hAnsi="Arial" w:cs="Arial"/>
              </w:rPr>
              <w:t xml:space="preserve"> July.  The timing of this </w:t>
            </w:r>
            <w:r w:rsidR="00C67327">
              <w:rPr>
                <w:rFonts w:ascii="Arial" w:hAnsi="Arial" w:cs="Arial"/>
              </w:rPr>
              <w:t>is fortuitous and would enable the LEP Chair to deliver the keynote address</w:t>
            </w:r>
            <w:r>
              <w:rPr>
                <w:rFonts w:ascii="Arial" w:hAnsi="Arial" w:cs="Arial"/>
              </w:rPr>
              <w:t>.  The audience of</w:t>
            </w:r>
            <w:r w:rsidR="00C67327">
              <w:rPr>
                <w:rFonts w:ascii="Arial" w:hAnsi="Arial" w:cs="Arial"/>
              </w:rPr>
              <w:t xml:space="preserve"> key</w:t>
            </w:r>
            <w:r>
              <w:rPr>
                <w:rFonts w:ascii="Arial" w:hAnsi="Arial" w:cs="Arial"/>
              </w:rPr>
              <w:t xml:space="preserve"> local partners, councillors, businesses etc. will be</w:t>
            </w:r>
            <w:r w:rsidR="00C67327">
              <w:rPr>
                <w:rFonts w:ascii="Arial" w:hAnsi="Arial" w:cs="Arial"/>
              </w:rPr>
              <w:t xml:space="preserve"> very interested in the SEP and </w:t>
            </w:r>
            <w:r>
              <w:rPr>
                <w:rFonts w:ascii="Arial" w:hAnsi="Arial" w:cs="Arial"/>
              </w:rPr>
              <w:t xml:space="preserve">the conference </w:t>
            </w:r>
            <w:r w:rsidR="00C67327">
              <w:rPr>
                <w:rFonts w:ascii="Arial" w:hAnsi="Arial" w:cs="Arial"/>
              </w:rPr>
              <w:t xml:space="preserve">can </w:t>
            </w:r>
            <w:r>
              <w:rPr>
                <w:rFonts w:ascii="Arial" w:hAnsi="Arial" w:cs="Arial"/>
              </w:rPr>
              <w:t>then go on to d</w:t>
            </w:r>
            <w:r w:rsidR="00C67327">
              <w:rPr>
                <w:rFonts w:ascii="Arial" w:hAnsi="Arial" w:cs="Arial"/>
              </w:rPr>
              <w:t>iscuss</w:t>
            </w:r>
            <w:r>
              <w:rPr>
                <w:rFonts w:ascii="Arial" w:hAnsi="Arial" w:cs="Arial"/>
              </w:rPr>
              <w:t xml:space="preserve"> the key</w:t>
            </w:r>
            <w:r w:rsidR="00C67327">
              <w:rPr>
                <w:rFonts w:ascii="Arial" w:hAnsi="Arial" w:cs="Arial"/>
              </w:rPr>
              <w:t xml:space="preserve"> growth</w:t>
            </w:r>
            <w:r>
              <w:rPr>
                <w:rFonts w:ascii="Arial" w:hAnsi="Arial" w:cs="Arial"/>
              </w:rPr>
              <w:t xml:space="preserve"> </w:t>
            </w:r>
            <w:r w:rsidR="00C67327">
              <w:rPr>
                <w:rFonts w:ascii="Arial" w:hAnsi="Arial" w:cs="Arial"/>
              </w:rPr>
              <w:t>issues the SEP has identified (transport, skills, Industrial Strategy etc.) in greater detail.</w:t>
            </w:r>
            <w:r>
              <w:rPr>
                <w:rFonts w:ascii="Arial" w:hAnsi="Arial" w:cs="Arial"/>
              </w:rPr>
              <w:t xml:space="preserve">   </w:t>
            </w:r>
          </w:p>
          <w:p w:rsidR="00ED0ED2" w:rsidRDefault="00ED0ED2" w:rsidP="00ED0ED2">
            <w:pPr>
              <w:pStyle w:val="ListParagraph"/>
              <w:tabs>
                <w:tab w:val="left" w:pos="1928"/>
              </w:tabs>
              <w:ind w:left="360"/>
              <w:rPr>
                <w:rFonts w:ascii="Arial" w:hAnsi="Arial" w:cs="Arial"/>
              </w:rPr>
            </w:pPr>
          </w:p>
          <w:p w:rsidR="00C67327" w:rsidRPr="00C67327" w:rsidRDefault="00C67327" w:rsidP="00ED0ED2">
            <w:pPr>
              <w:pStyle w:val="ListParagraph"/>
              <w:tabs>
                <w:tab w:val="left" w:pos="1928"/>
              </w:tabs>
              <w:ind w:left="360"/>
              <w:rPr>
                <w:rFonts w:ascii="Arial" w:hAnsi="Arial" w:cs="Arial"/>
                <w:b/>
                <w:i/>
              </w:rPr>
            </w:pPr>
            <w:r w:rsidRPr="00C67327">
              <w:rPr>
                <w:rFonts w:ascii="Arial" w:hAnsi="Arial" w:cs="Arial"/>
                <w:b/>
                <w:i/>
              </w:rPr>
              <w:t>The Board is asked to confirm it is content for the SEP to be launched at the Sub-Regional conference on 7 July.</w:t>
            </w:r>
          </w:p>
          <w:p w:rsidR="00C67327" w:rsidRDefault="00C67327" w:rsidP="00ED0ED2">
            <w:pPr>
              <w:pStyle w:val="ListParagraph"/>
              <w:tabs>
                <w:tab w:val="left" w:pos="1928"/>
              </w:tabs>
              <w:ind w:left="360"/>
              <w:rPr>
                <w:rFonts w:ascii="Arial" w:hAnsi="Arial" w:cs="Arial"/>
              </w:rPr>
            </w:pPr>
          </w:p>
          <w:p w:rsidR="00587C9B" w:rsidRDefault="00ED0ED2" w:rsidP="008F47C4">
            <w:pPr>
              <w:pStyle w:val="ListParagraph"/>
              <w:numPr>
                <w:ilvl w:val="0"/>
                <w:numId w:val="31"/>
              </w:numPr>
              <w:tabs>
                <w:tab w:val="left" w:pos="1928"/>
              </w:tabs>
              <w:rPr>
                <w:rFonts w:ascii="Arial" w:hAnsi="Arial" w:cs="Arial"/>
              </w:rPr>
            </w:pPr>
            <w:r>
              <w:rPr>
                <w:rFonts w:ascii="Arial" w:hAnsi="Arial" w:cs="Arial"/>
              </w:rPr>
              <w:t>During the refresh process, we have held o</w:t>
            </w:r>
            <w:r w:rsidR="009064C5">
              <w:rPr>
                <w:rFonts w:ascii="Arial" w:hAnsi="Arial" w:cs="Arial"/>
              </w:rPr>
              <w:t xml:space="preserve">ver a dozen stakeholder engagement events, giving </w:t>
            </w:r>
            <w:r>
              <w:rPr>
                <w:rFonts w:ascii="Arial" w:hAnsi="Arial" w:cs="Arial"/>
              </w:rPr>
              <w:t xml:space="preserve">a wide range of </w:t>
            </w:r>
            <w:r w:rsidR="009064C5">
              <w:rPr>
                <w:rFonts w:ascii="Arial" w:hAnsi="Arial" w:cs="Arial"/>
              </w:rPr>
              <w:t xml:space="preserve">people the chance to </w:t>
            </w:r>
            <w:r>
              <w:rPr>
                <w:rFonts w:ascii="Arial" w:hAnsi="Arial" w:cs="Arial"/>
              </w:rPr>
              <w:t xml:space="preserve">discuss the evidence and </w:t>
            </w:r>
            <w:r w:rsidR="009064C5">
              <w:rPr>
                <w:rFonts w:ascii="Arial" w:hAnsi="Arial" w:cs="Arial"/>
              </w:rPr>
              <w:t xml:space="preserve">share their views on </w:t>
            </w:r>
            <w:r>
              <w:rPr>
                <w:rFonts w:ascii="Arial" w:hAnsi="Arial" w:cs="Arial"/>
              </w:rPr>
              <w:t xml:space="preserve">the </w:t>
            </w:r>
            <w:r w:rsidR="009064C5">
              <w:rPr>
                <w:rFonts w:ascii="Arial" w:hAnsi="Arial" w:cs="Arial"/>
              </w:rPr>
              <w:t xml:space="preserve">emerging key messages. </w:t>
            </w:r>
            <w:r w:rsidR="000039D4">
              <w:rPr>
                <w:rFonts w:ascii="Arial" w:hAnsi="Arial" w:cs="Arial"/>
              </w:rPr>
              <w:t xml:space="preserve">The LEP Executive is keen to ensure that any subsequent </w:t>
            </w:r>
            <w:r w:rsidR="00C67327">
              <w:rPr>
                <w:rFonts w:ascii="Arial" w:hAnsi="Arial" w:cs="Arial"/>
              </w:rPr>
              <w:t xml:space="preserve">dissemination and </w:t>
            </w:r>
            <w:r w:rsidR="000039D4">
              <w:rPr>
                <w:rFonts w:ascii="Arial" w:hAnsi="Arial" w:cs="Arial"/>
              </w:rPr>
              <w:t>engagement activity</w:t>
            </w:r>
            <w:r>
              <w:rPr>
                <w:rFonts w:ascii="Arial" w:hAnsi="Arial" w:cs="Arial"/>
              </w:rPr>
              <w:t xml:space="preserve">, </w:t>
            </w:r>
            <w:r w:rsidR="00587C9B">
              <w:rPr>
                <w:rFonts w:ascii="Arial" w:hAnsi="Arial" w:cs="Arial"/>
              </w:rPr>
              <w:t>reaches beyond the previous events and offers people the chance to hear something ‘new’.</w:t>
            </w:r>
          </w:p>
          <w:p w:rsidR="00587C9B" w:rsidRPr="00587C9B" w:rsidRDefault="00587C9B" w:rsidP="00587C9B">
            <w:pPr>
              <w:pStyle w:val="ListParagraph"/>
              <w:rPr>
                <w:rFonts w:ascii="Arial" w:hAnsi="Arial" w:cs="Arial"/>
              </w:rPr>
            </w:pPr>
          </w:p>
          <w:p w:rsidR="00951D3D" w:rsidRDefault="00587C9B" w:rsidP="008F47C4">
            <w:pPr>
              <w:pStyle w:val="ListParagraph"/>
              <w:numPr>
                <w:ilvl w:val="0"/>
                <w:numId w:val="31"/>
              </w:numPr>
              <w:tabs>
                <w:tab w:val="left" w:pos="1928"/>
              </w:tabs>
              <w:rPr>
                <w:rFonts w:ascii="Arial" w:hAnsi="Arial" w:cs="Arial"/>
              </w:rPr>
            </w:pPr>
            <w:r>
              <w:rPr>
                <w:rFonts w:ascii="Arial" w:hAnsi="Arial" w:cs="Arial"/>
              </w:rPr>
              <w:t>The LEP Executive would recommend that in the next stage</w:t>
            </w:r>
            <w:r w:rsidR="00C67327">
              <w:rPr>
                <w:rFonts w:ascii="Arial" w:hAnsi="Arial" w:cs="Arial"/>
              </w:rPr>
              <w:t>, we</w:t>
            </w:r>
            <w:r>
              <w:rPr>
                <w:rFonts w:ascii="Arial" w:hAnsi="Arial" w:cs="Arial"/>
              </w:rPr>
              <w:t xml:space="preserve"> align our engagement activity with specific interest groups.  We have done this recently with the Rural </w:t>
            </w:r>
            <w:r w:rsidR="004226AF">
              <w:rPr>
                <w:rFonts w:ascii="Arial" w:hAnsi="Arial" w:cs="Arial"/>
              </w:rPr>
              <w:t>Strategy</w:t>
            </w:r>
            <w:r>
              <w:rPr>
                <w:rFonts w:ascii="Arial" w:hAnsi="Arial" w:cs="Arial"/>
              </w:rPr>
              <w:t xml:space="preserve"> Board who had concerns around the SEPs relevance in rural areas.  Such engagement enabled the Executive to </w:t>
            </w:r>
            <w:r w:rsidR="00C67327">
              <w:rPr>
                <w:rFonts w:ascii="Arial" w:hAnsi="Arial" w:cs="Arial"/>
              </w:rPr>
              <w:t xml:space="preserve">explain how the component parts of the SEP played out in rural areas and following the discussion </w:t>
            </w:r>
            <w:r w:rsidR="004226AF">
              <w:rPr>
                <w:rFonts w:ascii="Arial" w:hAnsi="Arial" w:cs="Arial"/>
              </w:rPr>
              <w:t>the R</w:t>
            </w:r>
            <w:r w:rsidR="00C67327">
              <w:rPr>
                <w:rFonts w:ascii="Arial" w:hAnsi="Arial" w:cs="Arial"/>
              </w:rPr>
              <w:t xml:space="preserve">ural </w:t>
            </w:r>
            <w:r w:rsidR="004226AF">
              <w:rPr>
                <w:rFonts w:ascii="Arial" w:hAnsi="Arial" w:cs="Arial"/>
              </w:rPr>
              <w:t>Strategy</w:t>
            </w:r>
            <w:r w:rsidR="00C67327">
              <w:rPr>
                <w:rFonts w:ascii="Arial" w:hAnsi="Arial" w:cs="Arial"/>
              </w:rPr>
              <w:t xml:space="preserve"> </w:t>
            </w:r>
            <w:r w:rsidR="004226AF">
              <w:rPr>
                <w:rFonts w:ascii="Arial" w:hAnsi="Arial" w:cs="Arial"/>
              </w:rPr>
              <w:t>B</w:t>
            </w:r>
            <w:r w:rsidR="00C67327">
              <w:rPr>
                <w:rFonts w:ascii="Arial" w:hAnsi="Arial" w:cs="Arial"/>
              </w:rPr>
              <w:t xml:space="preserve">oard </w:t>
            </w:r>
            <w:r w:rsidR="004226AF">
              <w:rPr>
                <w:rFonts w:ascii="Arial" w:hAnsi="Arial" w:cs="Arial"/>
              </w:rPr>
              <w:t xml:space="preserve">were happy to </w:t>
            </w:r>
            <w:r w:rsidR="00C67327">
              <w:rPr>
                <w:rFonts w:ascii="Arial" w:hAnsi="Arial" w:cs="Arial"/>
              </w:rPr>
              <w:t>endorse the approach we had taken.  Repeating this approach with other interested groups, will enable the Executive to ensure the nuances of the messaging lands</w:t>
            </w:r>
            <w:r w:rsidR="004226AF">
              <w:rPr>
                <w:rFonts w:ascii="Arial" w:hAnsi="Arial" w:cs="Arial"/>
              </w:rPr>
              <w:t>.</w:t>
            </w:r>
            <w:r w:rsidR="00C67327">
              <w:rPr>
                <w:rFonts w:ascii="Arial" w:hAnsi="Arial" w:cs="Arial"/>
              </w:rPr>
              <w:t xml:space="preserve"> </w:t>
            </w:r>
            <w:r w:rsidR="00653D0A">
              <w:rPr>
                <w:rFonts w:ascii="Arial" w:hAnsi="Arial" w:cs="Arial"/>
              </w:rPr>
              <w:t xml:space="preserve"> </w:t>
            </w:r>
          </w:p>
          <w:p w:rsidR="00653D0A" w:rsidRPr="00653D0A" w:rsidRDefault="00653D0A" w:rsidP="00653D0A">
            <w:pPr>
              <w:pStyle w:val="ListParagraph"/>
              <w:rPr>
                <w:rFonts w:ascii="Arial" w:hAnsi="Arial" w:cs="Arial"/>
              </w:rPr>
            </w:pPr>
          </w:p>
          <w:p w:rsidR="000039D4" w:rsidRPr="000039D4" w:rsidRDefault="000039D4" w:rsidP="000039D4">
            <w:pPr>
              <w:pStyle w:val="ListParagraph"/>
              <w:rPr>
                <w:rFonts w:ascii="Arial" w:hAnsi="Arial" w:cs="Arial"/>
              </w:rPr>
            </w:pPr>
          </w:p>
          <w:p w:rsidR="00653D0A" w:rsidRDefault="004226AF" w:rsidP="008F47C4">
            <w:pPr>
              <w:pStyle w:val="ListParagraph"/>
              <w:numPr>
                <w:ilvl w:val="0"/>
                <w:numId w:val="31"/>
              </w:numPr>
              <w:tabs>
                <w:tab w:val="left" w:pos="1928"/>
              </w:tabs>
              <w:rPr>
                <w:rFonts w:ascii="Arial" w:hAnsi="Arial" w:cs="Arial"/>
              </w:rPr>
            </w:pPr>
            <w:r>
              <w:rPr>
                <w:rFonts w:ascii="Arial" w:hAnsi="Arial" w:cs="Arial"/>
              </w:rPr>
              <w:t>We are compiling a list of specific interest groups we would be keen to engage with and this will include:</w:t>
            </w:r>
          </w:p>
          <w:p w:rsidR="00AF7E85" w:rsidRPr="00AF7E85" w:rsidRDefault="00AF7E85" w:rsidP="00AF7E85">
            <w:pPr>
              <w:pStyle w:val="ListParagraph"/>
              <w:rPr>
                <w:rFonts w:ascii="Arial" w:hAnsi="Arial" w:cs="Arial"/>
              </w:rPr>
            </w:pPr>
          </w:p>
          <w:p w:rsidR="00AF7E85" w:rsidRDefault="00AF7E85" w:rsidP="00AF7E85">
            <w:pPr>
              <w:pStyle w:val="ListParagraph"/>
              <w:numPr>
                <w:ilvl w:val="1"/>
                <w:numId w:val="31"/>
              </w:numPr>
              <w:tabs>
                <w:tab w:val="left" w:pos="1928"/>
              </w:tabs>
              <w:rPr>
                <w:rFonts w:ascii="Arial" w:hAnsi="Arial" w:cs="Arial"/>
              </w:rPr>
            </w:pPr>
            <w:r>
              <w:rPr>
                <w:rFonts w:ascii="Arial" w:hAnsi="Arial" w:cs="Arial"/>
              </w:rPr>
              <w:t>MPs</w:t>
            </w:r>
          </w:p>
          <w:p w:rsidR="00AF7E85" w:rsidRDefault="00AF7E85" w:rsidP="00AF7E85">
            <w:pPr>
              <w:pStyle w:val="ListParagraph"/>
              <w:numPr>
                <w:ilvl w:val="1"/>
                <w:numId w:val="31"/>
              </w:numPr>
              <w:tabs>
                <w:tab w:val="left" w:pos="1928"/>
              </w:tabs>
              <w:rPr>
                <w:rFonts w:ascii="Arial" w:hAnsi="Arial" w:cs="Arial"/>
              </w:rPr>
            </w:pPr>
            <w:r>
              <w:rPr>
                <w:rFonts w:ascii="Arial" w:hAnsi="Arial" w:cs="Arial"/>
              </w:rPr>
              <w:t>Cheshire Business Leaders</w:t>
            </w:r>
          </w:p>
          <w:p w:rsidR="00AF7E85" w:rsidRDefault="00AF7E85" w:rsidP="00AF7E85">
            <w:pPr>
              <w:pStyle w:val="ListParagraph"/>
              <w:numPr>
                <w:ilvl w:val="1"/>
                <w:numId w:val="31"/>
              </w:numPr>
              <w:tabs>
                <w:tab w:val="left" w:pos="1928"/>
              </w:tabs>
              <w:rPr>
                <w:rFonts w:ascii="Arial" w:hAnsi="Arial" w:cs="Arial"/>
              </w:rPr>
            </w:pPr>
            <w:r>
              <w:rPr>
                <w:rFonts w:ascii="Arial" w:hAnsi="Arial" w:cs="Arial"/>
              </w:rPr>
              <w:t>Place Team Chairs</w:t>
            </w:r>
          </w:p>
          <w:p w:rsidR="00AF7E85" w:rsidRDefault="00AF7E85" w:rsidP="00AF7E85">
            <w:pPr>
              <w:pStyle w:val="ListParagraph"/>
              <w:numPr>
                <w:ilvl w:val="1"/>
                <w:numId w:val="31"/>
              </w:numPr>
              <w:tabs>
                <w:tab w:val="left" w:pos="1928"/>
              </w:tabs>
              <w:rPr>
                <w:rFonts w:ascii="Arial" w:hAnsi="Arial" w:cs="Arial"/>
              </w:rPr>
            </w:pPr>
            <w:proofErr w:type="spellStart"/>
            <w:r>
              <w:rPr>
                <w:rFonts w:ascii="Arial" w:hAnsi="Arial" w:cs="Arial"/>
              </w:rPr>
              <w:t>CHaLC</w:t>
            </w:r>
            <w:proofErr w:type="spellEnd"/>
            <w:r>
              <w:rPr>
                <w:rFonts w:ascii="Arial" w:hAnsi="Arial" w:cs="Arial"/>
              </w:rPr>
              <w:t xml:space="preserve"> (probably linked to a session on the emerging transport strategy)</w:t>
            </w:r>
          </w:p>
          <w:p w:rsidR="000039D4" w:rsidRDefault="000039D4" w:rsidP="000039D4">
            <w:pPr>
              <w:pStyle w:val="ListParagraph"/>
              <w:tabs>
                <w:tab w:val="left" w:pos="1928"/>
              </w:tabs>
              <w:ind w:left="1080"/>
              <w:rPr>
                <w:rFonts w:ascii="Arial" w:hAnsi="Arial" w:cs="Arial"/>
              </w:rPr>
            </w:pPr>
          </w:p>
          <w:p w:rsidR="000039D4" w:rsidRDefault="000039D4" w:rsidP="000039D4">
            <w:pPr>
              <w:tabs>
                <w:tab w:val="left" w:pos="1928"/>
              </w:tabs>
              <w:ind w:left="360"/>
              <w:rPr>
                <w:rFonts w:ascii="Arial" w:hAnsi="Arial" w:cs="Arial"/>
                <w:b/>
                <w:i/>
              </w:rPr>
            </w:pPr>
            <w:r w:rsidRPr="000039D4">
              <w:rPr>
                <w:rFonts w:ascii="Arial" w:hAnsi="Arial" w:cs="Arial"/>
                <w:b/>
                <w:i/>
              </w:rPr>
              <w:t xml:space="preserve">The </w:t>
            </w:r>
            <w:r w:rsidR="004226AF">
              <w:rPr>
                <w:rFonts w:ascii="Arial" w:hAnsi="Arial" w:cs="Arial"/>
                <w:b/>
                <w:i/>
              </w:rPr>
              <w:t>Board is asked to confirm it is content with a targeted, sector specific approach to ongoing engagement and dissemination.</w:t>
            </w:r>
          </w:p>
          <w:p w:rsidR="004226AF" w:rsidRDefault="004226AF" w:rsidP="000039D4">
            <w:pPr>
              <w:tabs>
                <w:tab w:val="left" w:pos="1928"/>
              </w:tabs>
              <w:ind w:left="360"/>
              <w:rPr>
                <w:rFonts w:ascii="Arial" w:hAnsi="Arial" w:cs="Arial"/>
                <w:b/>
                <w:i/>
              </w:rPr>
            </w:pPr>
          </w:p>
          <w:p w:rsidR="00ED0ED2" w:rsidRDefault="00ED0ED2" w:rsidP="000039D4">
            <w:pPr>
              <w:tabs>
                <w:tab w:val="left" w:pos="1928"/>
              </w:tabs>
              <w:ind w:left="360"/>
              <w:rPr>
                <w:rFonts w:ascii="Arial" w:hAnsi="Arial" w:cs="Arial"/>
                <w:b/>
                <w:i/>
              </w:rPr>
            </w:pPr>
            <w:r>
              <w:rPr>
                <w:rFonts w:ascii="Arial" w:hAnsi="Arial" w:cs="Arial"/>
                <w:b/>
                <w:i/>
              </w:rPr>
              <w:t>SEP Supporting Strategies</w:t>
            </w:r>
          </w:p>
          <w:p w:rsidR="00ED0ED2" w:rsidRPr="000039D4" w:rsidRDefault="00ED0ED2" w:rsidP="000039D4">
            <w:pPr>
              <w:tabs>
                <w:tab w:val="left" w:pos="1928"/>
              </w:tabs>
              <w:ind w:left="360"/>
              <w:rPr>
                <w:rFonts w:ascii="Arial" w:hAnsi="Arial" w:cs="Arial"/>
                <w:b/>
                <w:i/>
              </w:rPr>
            </w:pPr>
          </w:p>
          <w:p w:rsidR="00ED0ED2" w:rsidRPr="000039D4" w:rsidRDefault="00ED0ED2" w:rsidP="00ED0ED2">
            <w:pPr>
              <w:pStyle w:val="ListParagraph"/>
              <w:numPr>
                <w:ilvl w:val="0"/>
                <w:numId w:val="31"/>
              </w:numPr>
              <w:tabs>
                <w:tab w:val="left" w:pos="1928"/>
              </w:tabs>
              <w:rPr>
                <w:rFonts w:ascii="Arial" w:hAnsi="Arial" w:cs="Arial"/>
              </w:rPr>
            </w:pPr>
            <w:r w:rsidRPr="000039D4">
              <w:rPr>
                <w:rFonts w:ascii="Arial" w:hAnsi="Arial" w:cs="Arial"/>
              </w:rPr>
              <w:t>The report to Board in April also indicated that the first four (of up to seven) supporting strategies would be available by October. These documents would carry greater detail on their respective themes as well as identify priority activities, projects and programmes which would then aggregate up into the LEP delivery programme. Th</w:t>
            </w:r>
            <w:r w:rsidR="004226AF">
              <w:rPr>
                <w:rFonts w:ascii="Arial" w:hAnsi="Arial" w:cs="Arial"/>
              </w:rPr>
              <w:t>is paper provides further detail</w:t>
            </w:r>
            <w:r w:rsidRPr="000039D4">
              <w:rPr>
                <w:rFonts w:ascii="Arial" w:hAnsi="Arial" w:cs="Arial"/>
              </w:rPr>
              <w:t xml:space="preserve"> on these initial documents.</w:t>
            </w:r>
          </w:p>
          <w:p w:rsidR="00ED0ED2" w:rsidRDefault="00ED0ED2" w:rsidP="00ED0ED2">
            <w:pPr>
              <w:pStyle w:val="ListParagraph"/>
            </w:pPr>
          </w:p>
          <w:p w:rsidR="00ED0ED2" w:rsidRDefault="00ED0ED2" w:rsidP="00ED0ED2">
            <w:pPr>
              <w:pStyle w:val="ListParagraph"/>
              <w:numPr>
                <w:ilvl w:val="0"/>
                <w:numId w:val="31"/>
              </w:numPr>
              <w:tabs>
                <w:tab w:val="left" w:pos="1928"/>
              </w:tabs>
              <w:rPr>
                <w:rFonts w:ascii="Arial" w:hAnsi="Arial" w:cs="Arial"/>
              </w:rPr>
            </w:pPr>
            <w:r>
              <w:rPr>
                <w:rFonts w:ascii="Arial" w:hAnsi="Arial" w:cs="Arial"/>
              </w:rPr>
              <w:t>Work on development of the first four of these ‘daughter documents’ (Transport, Skills and Education, Energy and Quality of Place) is either underway or about to commence. The remaining three plans (Digital, Housing and Science and Innovation) will be started later in the summer.</w:t>
            </w:r>
          </w:p>
          <w:p w:rsidR="00ED0ED2" w:rsidRPr="00BC204D" w:rsidRDefault="00ED0ED2" w:rsidP="00ED0ED2">
            <w:pPr>
              <w:pStyle w:val="ListParagraph"/>
              <w:rPr>
                <w:rFonts w:ascii="Arial" w:hAnsi="Arial" w:cs="Arial"/>
              </w:rPr>
            </w:pPr>
          </w:p>
          <w:p w:rsidR="00ED0ED2" w:rsidRDefault="00ED0ED2" w:rsidP="00ED0ED2">
            <w:pPr>
              <w:pStyle w:val="ListParagraph"/>
              <w:numPr>
                <w:ilvl w:val="0"/>
                <w:numId w:val="31"/>
              </w:numPr>
              <w:tabs>
                <w:tab w:val="left" w:pos="1928"/>
              </w:tabs>
              <w:rPr>
                <w:rFonts w:ascii="Arial" w:hAnsi="Arial" w:cs="Arial"/>
              </w:rPr>
            </w:pPr>
            <w:r>
              <w:rPr>
                <w:rFonts w:ascii="Arial" w:hAnsi="Arial" w:cs="Arial"/>
              </w:rPr>
              <w:t>Much of the work in steering development of these delivery plans will sit with the relevant LEP sub-committee, with the overall programme overseen by the Strategy Committee.</w:t>
            </w:r>
          </w:p>
          <w:p w:rsidR="00ED0ED2" w:rsidRPr="00BC204D" w:rsidRDefault="00ED0ED2" w:rsidP="00ED0ED2">
            <w:pPr>
              <w:pStyle w:val="ListParagraph"/>
              <w:rPr>
                <w:rFonts w:ascii="Arial" w:hAnsi="Arial" w:cs="Arial"/>
              </w:rPr>
            </w:pPr>
          </w:p>
          <w:p w:rsidR="00ED0ED2" w:rsidRDefault="00ED0ED2" w:rsidP="00ED0ED2">
            <w:pPr>
              <w:pStyle w:val="ListParagraph"/>
              <w:numPr>
                <w:ilvl w:val="0"/>
                <w:numId w:val="31"/>
              </w:numPr>
              <w:tabs>
                <w:tab w:val="left" w:pos="1928"/>
              </w:tabs>
              <w:rPr>
                <w:rFonts w:ascii="Arial" w:hAnsi="Arial" w:cs="Arial"/>
              </w:rPr>
            </w:pPr>
            <w:r>
              <w:rPr>
                <w:rFonts w:ascii="Arial" w:hAnsi="Arial" w:cs="Arial"/>
              </w:rPr>
              <w:t xml:space="preserve">The </w:t>
            </w:r>
            <w:r w:rsidRPr="00F803E7">
              <w:rPr>
                <w:rFonts w:ascii="Arial" w:hAnsi="Arial" w:cs="Arial"/>
                <w:b/>
              </w:rPr>
              <w:t>Transport Strategy</w:t>
            </w:r>
            <w:r>
              <w:rPr>
                <w:rFonts w:ascii="Arial" w:hAnsi="Arial" w:cs="Arial"/>
              </w:rPr>
              <w:t xml:space="preserve"> (led by the Local Transport Body) and </w:t>
            </w:r>
            <w:r w:rsidRPr="00F803E7">
              <w:rPr>
                <w:rFonts w:ascii="Arial" w:hAnsi="Arial" w:cs="Arial"/>
                <w:b/>
              </w:rPr>
              <w:t>Skills and Education Strategy</w:t>
            </w:r>
            <w:r>
              <w:rPr>
                <w:rFonts w:ascii="Arial" w:hAnsi="Arial" w:cs="Arial"/>
              </w:rPr>
              <w:t xml:space="preserve"> (led by the Employer Skills Board) are already underway, with early drafts due for consideration by these sub-committees in July / August. Final versions will be produced by October. An Invitation to tender (ITT) for consultants to develop the BEIS-funded </w:t>
            </w:r>
            <w:r w:rsidRPr="00F803E7">
              <w:rPr>
                <w:rFonts w:ascii="Arial" w:hAnsi="Arial" w:cs="Arial"/>
                <w:b/>
              </w:rPr>
              <w:t>Energy Strategy</w:t>
            </w:r>
            <w:r>
              <w:rPr>
                <w:rFonts w:ascii="Arial" w:hAnsi="Arial" w:cs="Arial"/>
              </w:rPr>
              <w:t xml:space="preserve"> is being prepared for issue by the end of June and work to develop a scope and Terms of Reference for the </w:t>
            </w:r>
            <w:r w:rsidRPr="00F803E7">
              <w:rPr>
                <w:rFonts w:ascii="Arial" w:hAnsi="Arial" w:cs="Arial"/>
                <w:b/>
              </w:rPr>
              <w:t>Quality of Place Strategy</w:t>
            </w:r>
            <w:r>
              <w:rPr>
                <w:rFonts w:ascii="Arial" w:hAnsi="Arial" w:cs="Arial"/>
              </w:rPr>
              <w:t xml:space="preserve"> is also being progressed. The latter two pieces of work will be overseen by the Strategy Committee with the support of dedicated Task and Finish Groups made up of representation from the business sector (including the LEP Board) and public sector. It is expected that initial outputs from these two </w:t>
            </w:r>
            <w:proofErr w:type="spellStart"/>
            <w:r>
              <w:rPr>
                <w:rFonts w:ascii="Arial" w:hAnsi="Arial" w:cs="Arial"/>
              </w:rPr>
              <w:t>workstreams</w:t>
            </w:r>
            <w:proofErr w:type="spellEnd"/>
            <w:r>
              <w:rPr>
                <w:rFonts w:ascii="Arial" w:hAnsi="Arial" w:cs="Arial"/>
              </w:rPr>
              <w:t xml:space="preserve"> will also be available in October.</w:t>
            </w:r>
          </w:p>
          <w:p w:rsidR="00ED0ED2" w:rsidRPr="00951D3D" w:rsidRDefault="00ED0ED2" w:rsidP="00ED0ED2">
            <w:pPr>
              <w:pStyle w:val="ListParagraph"/>
              <w:rPr>
                <w:rFonts w:ascii="Arial" w:hAnsi="Arial" w:cs="Arial"/>
              </w:rPr>
            </w:pPr>
          </w:p>
          <w:p w:rsidR="00ED0ED2" w:rsidRDefault="00ED0ED2" w:rsidP="00ED0ED2">
            <w:pPr>
              <w:pStyle w:val="ListParagraph"/>
              <w:numPr>
                <w:ilvl w:val="0"/>
                <w:numId w:val="31"/>
              </w:numPr>
              <w:tabs>
                <w:tab w:val="left" w:pos="1928"/>
              </w:tabs>
              <w:rPr>
                <w:rFonts w:ascii="Arial" w:hAnsi="Arial" w:cs="Arial"/>
              </w:rPr>
            </w:pPr>
            <w:r>
              <w:rPr>
                <w:rFonts w:ascii="Arial" w:hAnsi="Arial" w:cs="Arial"/>
              </w:rPr>
              <w:t xml:space="preserve">The delivery plans for </w:t>
            </w:r>
            <w:r w:rsidRPr="00951D3D">
              <w:rPr>
                <w:rFonts w:ascii="Arial" w:hAnsi="Arial" w:cs="Arial"/>
                <w:b/>
              </w:rPr>
              <w:t>Housing, Digital</w:t>
            </w:r>
            <w:r>
              <w:rPr>
                <w:rFonts w:ascii="Arial" w:hAnsi="Arial" w:cs="Arial"/>
              </w:rPr>
              <w:t xml:space="preserve"> and </w:t>
            </w:r>
            <w:r w:rsidRPr="00951D3D">
              <w:rPr>
                <w:rFonts w:ascii="Arial" w:hAnsi="Arial" w:cs="Arial"/>
                <w:b/>
              </w:rPr>
              <w:t>Science and Innovation</w:t>
            </w:r>
            <w:r>
              <w:rPr>
                <w:rFonts w:ascii="Arial" w:hAnsi="Arial" w:cs="Arial"/>
              </w:rPr>
              <w:t xml:space="preserve"> will be scoped out over the summer to enable work to start in earnest in September. Output from these </w:t>
            </w:r>
            <w:proofErr w:type="spellStart"/>
            <w:r>
              <w:rPr>
                <w:rFonts w:ascii="Arial" w:hAnsi="Arial" w:cs="Arial"/>
              </w:rPr>
              <w:t>workstreams</w:t>
            </w:r>
            <w:proofErr w:type="spellEnd"/>
            <w:r>
              <w:rPr>
                <w:rFonts w:ascii="Arial" w:hAnsi="Arial" w:cs="Arial"/>
              </w:rPr>
              <w:t xml:space="preserve"> is expected in March / April 2018.</w:t>
            </w:r>
          </w:p>
          <w:p w:rsidR="00ED0ED2" w:rsidRPr="00ED0ED2" w:rsidRDefault="00ED0ED2" w:rsidP="00ED0ED2">
            <w:pPr>
              <w:pStyle w:val="ListParagraph"/>
              <w:rPr>
                <w:rFonts w:ascii="Arial" w:hAnsi="Arial" w:cs="Arial"/>
              </w:rPr>
            </w:pPr>
          </w:p>
          <w:p w:rsidR="00ED0ED2" w:rsidRPr="00ED0ED2" w:rsidRDefault="00ED0ED2" w:rsidP="00ED0ED2">
            <w:pPr>
              <w:pStyle w:val="ListParagraph"/>
              <w:tabs>
                <w:tab w:val="left" w:pos="1928"/>
              </w:tabs>
              <w:ind w:left="360"/>
              <w:rPr>
                <w:rFonts w:ascii="Arial" w:hAnsi="Arial" w:cs="Arial"/>
                <w:b/>
              </w:rPr>
            </w:pPr>
            <w:r w:rsidRPr="00ED0ED2">
              <w:rPr>
                <w:rFonts w:ascii="Arial" w:hAnsi="Arial" w:cs="Arial"/>
                <w:b/>
              </w:rPr>
              <w:lastRenderedPageBreak/>
              <w:t>Sub-regional prospectus</w:t>
            </w:r>
          </w:p>
          <w:p w:rsidR="00AF7E85" w:rsidRDefault="00AF7E85" w:rsidP="00AF7E85">
            <w:pPr>
              <w:pStyle w:val="ListParagraph"/>
              <w:tabs>
                <w:tab w:val="left" w:pos="1928"/>
              </w:tabs>
              <w:ind w:left="1080"/>
              <w:rPr>
                <w:rFonts w:ascii="Arial" w:hAnsi="Arial" w:cs="Arial"/>
              </w:rPr>
            </w:pPr>
          </w:p>
          <w:p w:rsidR="00AF7E85" w:rsidRPr="00AF7E85" w:rsidRDefault="00F946BF" w:rsidP="000039D4">
            <w:pPr>
              <w:pStyle w:val="ListParagraph"/>
              <w:numPr>
                <w:ilvl w:val="0"/>
                <w:numId w:val="31"/>
              </w:numPr>
              <w:tabs>
                <w:tab w:val="left" w:pos="1928"/>
              </w:tabs>
              <w:rPr>
                <w:rFonts w:ascii="Arial" w:hAnsi="Arial" w:cs="Arial"/>
              </w:rPr>
            </w:pPr>
            <w:r>
              <w:rPr>
                <w:rFonts w:ascii="Arial" w:hAnsi="Arial" w:cs="Arial"/>
              </w:rPr>
              <w:t>It should be noted that w</w:t>
            </w:r>
            <w:r w:rsidR="000039D4">
              <w:rPr>
                <w:rFonts w:ascii="Arial" w:hAnsi="Arial" w:cs="Arial"/>
              </w:rPr>
              <w:t xml:space="preserve">ork is also underway at the request of the </w:t>
            </w:r>
            <w:r w:rsidR="000039D4" w:rsidRPr="00D2071C">
              <w:rPr>
                <w:rFonts w:ascii="Arial" w:hAnsi="Arial" w:cs="Arial"/>
                <w:b/>
              </w:rPr>
              <w:t>Sub Regional Leaders Board</w:t>
            </w:r>
            <w:r w:rsidR="000039D4">
              <w:rPr>
                <w:rFonts w:ascii="Arial" w:hAnsi="Arial" w:cs="Arial"/>
              </w:rPr>
              <w:t xml:space="preserve"> to develop a ‘</w:t>
            </w:r>
            <w:r w:rsidR="000039D4" w:rsidRPr="00D2071C">
              <w:rPr>
                <w:rFonts w:ascii="Arial" w:hAnsi="Arial" w:cs="Arial"/>
                <w:b/>
              </w:rPr>
              <w:t>prospectus</w:t>
            </w:r>
            <w:r w:rsidR="000039D4">
              <w:rPr>
                <w:rFonts w:ascii="Arial" w:hAnsi="Arial" w:cs="Arial"/>
              </w:rPr>
              <w:t xml:space="preserve">’ for Cheshire and Warrington which will highlight the key messages around economic growth and the inclusive growth (Public </w:t>
            </w:r>
            <w:r>
              <w:rPr>
                <w:rFonts w:ascii="Arial" w:hAnsi="Arial" w:cs="Arial"/>
              </w:rPr>
              <w:t>Service</w:t>
            </w:r>
            <w:r w:rsidR="000039D4">
              <w:rPr>
                <w:rFonts w:ascii="Arial" w:hAnsi="Arial" w:cs="Arial"/>
              </w:rPr>
              <w:t xml:space="preserve"> Reform) a</w:t>
            </w:r>
            <w:r>
              <w:rPr>
                <w:rFonts w:ascii="Arial" w:hAnsi="Arial" w:cs="Arial"/>
              </w:rPr>
              <w:t xml:space="preserve">genda. This will draw substantially on the narrative within the SEP and also seek to highlight key project priorities at the sub-regional level. </w:t>
            </w:r>
          </w:p>
        </w:tc>
      </w:tr>
    </w:tbl>
    <w:p w:rsidR="0027329A" w:rsidRPr="00A92009" w:rsidRDefault="0027329A" w:rsidP="005C1D1C">
      <w:pPr>
        <w:jc w:val="both"/>
        <w:rPr>
          <w:rFonts w:ascii="Arial" w:hAnsi="Arial" w:cs="Arial"/>
          <w:sz w:val="20"/>
          <w:szCs w:val="20"/>
        </w:rPr>
      </w:pPr>
    </w:p>
    <w:p w:rsidR="000C445F" w:rsidRPr="00140B0D" w:rsidRDefault="000C445F" w:rsidP="005C1D1C">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0C445F" w:rsidRPr="00A92009" w:rsidTr="002C7871">
        <w:tc>
          <w:tcPr>
            <w:tcW w:w="10440" w:type="dxa"/>
          </w:tcPr>
          <w:p w:rsidR="000C445F" w:rsidRPr="00A92009" w:rsidRDefault="000C445F" w:rsidP="005C1D1C">
            <w:pPr>
              <w:pStyle w:val="Heading3"/>
              <w:numPr>
                <w:ilvl w:val="0"/>
                <w:numId w:val="1"/>
              </w:numPr>
              <w:tabs>
                <w:tab w:val="clear" w:pos="720"/>
                <w:tab w:val="num" w:pos="180"/>
              </w:tabs>
              <w:ind w:left="180" w:firstLine="0"/>
            </w:pPr>
            <w:r w:rsidRPr="00A92009">
              <w:t>Appendices:</w:t>
            </w:r>
          </w:p>
          <w:p w:rsidR="000C445F" w:rsidRPr="00A92009" w:rsidRDefault="000C445F" w:rsidP="005C1D1C">
            <w:pPr>
              <w:tabs>
                <w:tab w:val="num" w:pos="180"/>
              </w:tabs>
              <w:ind w:left="180" w:right="278"/>
              <w:jc w:val="both"/>
              <w:rPr>
                <w:rFonts w:ascii="Arial" w:hAnsi="Arial" w:cs="Arial"/>
                <w:sz w:val="20"/>
                <w:szCs w:val="20"/>
              </w:rPr>
            </w:pPr>
          </w:p>
          <w:p w:rsidR="000C445F" w:rsidRPr="000C445F" w:rsidRDefault="003D2DDC" w:rsidP="005C1D1C">
            <w:pPr>
              <w:numPr>
                <w:ilvl w:val="0"/>
                <w:numId w:val="18"/>
              </w:numPr>
              <w:ind w:left="1094" w:hanging="357"/>
              <w:jc w:val="both"/>
              <w:rPr>
                <w:rFonts w:ascii="Arial" w:hAnsi="Arial" w:cs="Arial"/>
                <w:sz w:val="20"/>
                <w:szCs w:val="20"/>
              </w:rPr>
            </w:pPr>
            <w:r>
              <w:rPr>
                <w:rFonts w:ascii="Arial" w:hAnsi="Arial" w:cs="Arial"/>
                <w:sz w:val="22"/>
                <w:szCs w:val="22"/>
              </w:rPr>
              <w:t>Draft SEP</w:t>
            </w:r>
            <w:r w:rsidR="008F5E32">
              <w:rPr>
                <w:rFonts w:ascii="Arial" w:hAnsi="Arial" w:cs="Arial"/>
                <w:sz w:val="22"/>
                <w:szCs w:val="22"/>
              </w:rPr>
              <w:t xml:space="preserve"> (to follow)</w:t>
            </w:r>
          </w:p>
          <w:p w:rsidR="000C445F" w:rsidRPr="00A92009" w:rsidRDefault="000C445F" w:rsidP="005C1D1C">
            <w:pPr>
              <w:ind w:left="1094"/>
              <w:jc w:val="both"/>
              <w:rPr>
                <w:rFonts w:ascii="Arial" w:hAnsi="Arial" w:cs="Arial"/>
                <w:sz w:val="20"/>
                <w:szCs w:val="20"/>
              </w:rPr>
            </w:pPr>
          </w:p>
        </w:tc>
      </w:tr>
    </w:tbl>
    <w:p w:rsidR="0027329A" w:rsidRPr="00A92009" w:rsidRDefault="0027329A" w:rsidP="0027329A">
      <w:pPr>
        <w:rPr>
          <w:rFonts w:ascii="Arial" w:hAnsi="Arial" w:cs="Arial"/>
          <w:sz w:val="20"/>
          <w:szCs w:val="20"/>
        </w:rPr>
      </w:pPr>
    </w:p>
    <w:sectPr w:rsidR="0027329A" w:rsidRPr="00A92009" w:rsidSect="0027329A">
      <w:headerReference w:type="even" r:id="rId8"/>
      <w:headerReference w:type="default" r:id="rId9"/>
      <w:footerReference w:type="even" r:id="rId10"/>
      <w:footerReference w:type="default" r:id="rId11"/>
      <w:headerReference w:type="first" r:id="rId12"/>
      <w:footerReference w:type="first" r:id="rId13"/>
      <w:pgSz w:w="12240" w:h="15840"/>
      <w:pgMar w:top="1078" w:right="720"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58" w:rsidRDefault="000B5D58">
      <w:r>
        <w:separator/>
      </w:r>
    </w:p>
  </w:endnote>
  <w:endnote w:type="continuationSeparator" w:id="0">
    <w:p w:rsidR="000B5D58" w:rsidRDefault="000B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3" w:rsidRDefault="000F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3" w:rsidRDefault="000F3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3" w:rsidRDefault="000F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58" w:rsidRDefault="000B5D58">
      <w:r>
        <w:separator/>
      </w:r>
    </w:p>
  </w:footnote>
  <w:footnote w:type="continuationSeparator" w:id="0">
    <w:p w:rsidR="000B5D58" w:rsidRDefault="000B5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3" w:rsidRDefault="000F3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D2" w:rsidRDefault="00A22D30" w:rsidP="00A92009">
    <w:pPr>
      <w:pStyle w:val="Header"/>
      <w:jc w:val="center"/>
    </w:pPr>
    <w:r w:rsidRPr="0039442F">
      <w:rPr>
        <w:noProof/>
        <w:lang w:eastAsia="en-GB"/>
      </w:rPr>
      <w:drawing>
        <wp:inline distT="0" distB="0" distL="0" distR="0">
          <wp:extent cx="1542415" cy="15189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15189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B03" w:rsidRDefault="000F3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4740"/>
    <w:multiLevelType w:val="hybridMultilevel"/>
    <w:tmpl w:val="AC5CB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D5358"/>
    <w:multiLevelType w:val="hybridMultilevel"/>
    <w:tmpl w:val="8E32BE3E"/>
    <w:lvl w:ilvl="0" w:tplc="113C72E0">
      <w:start w:val="1"/>
      <w:numFmt w:val="decimal"/>
      <w:pStyle w:val="BodyText2"/>
      <w:lvlText w:val="%1."/>
      <w:lvlJc w:val="left"/>
      <w:pPr>
        <w:tabs>
          <w:tab w:val="num" w:pos="0"/>
        </w:tabs>
        <w:ind w:left="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179E0"/>
    <w:multiLevelType w:val="hybridMultilevel"/>
    <w:tmpl w:val="5C861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729F9"/>
    <w:multiLevelType w:val="hybridMultilevel"/>
    <w:tmpl w:val="F3C6750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942CD3"/>
    <w:multiLevelType w:val="hybridMultilevel"/>
    <w:tmpl w:val="D0501DE0"/>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5" w15:restartNumberingAfterBreak="0">
    <w:nsid w:val="1FB05CC9"/>
    <w:multiLevelType w:val="hybridMultilevel"/>
    <w:tmpl w:val="9EDAA7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0D3182"/>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C63A3"/>
    <w:multiLevelType w:val="hybridMultilevel"/>
    <w:tmpl w:val="6FB8446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406169"/>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646C9"/>
    <w:multiLevelType w:val="hybridMultilevel"/>
    <w:tmpl w:val="AB905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455029"/>
    <w:multiLevelType w:val="hybridMultilevel"/>
    <w:tmpl w:val="F13E76B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550C81"/>
    <w:multiLevelType w:val="hybridMultilevel"/>
    <w:tmpl w:val="C720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2C8655B"/>
    <w:multiLevelType w:val="hybridMultilevel"/>
    <w:tmpl w:val="D2D6D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11638"/>
    <w:multiLevelType w:val="hybridMultilevel"/>
    <w:tmpl w:val="40CE9D1E"/>
    <w:lvl w:ilvl="0" w:tplc="980A5666">
      <w:start w:val="1"/>
      <w:numFmt w:val="lowerRoman"/>
      <w:lvlText w:val="(%1)"/>
      <w:lvlJc w:val="left"/>
      <w:pPr>
        <w:ind w:left="720" w:hanging="72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4" w15:restartNumberingAfterBreak="0">
    <w:nsid w:val="352A458E"/>
    <w:multiLevelType w:val="hybridMultilevel"/>
    <w:tmpl w:val="8D766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945DC3"/>
    <w:multiLevelType w:val="hybridMultilevel"/>
    <w:tmpl w:val="EABAA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C2A7B"/>
    <w:multiLevelType w:val="hybridMultilevel"/>
    <w:tmpl w:val="ED46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2703A"/>
    <w:multiLevelType w:val="hybridMultilevel"/>
    <w:tmpl w:val="1984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72703"/>
    <w:multiLevelType w:val="hybridMultilevel"/>
    <w:tmpl w:val="AA062674"/>
    <w:lvl w:ilvl="0" w:tplc="811A23E2">
      <w:start w:val="1"/>
      <w:numFmt w:val="decimal"/>
      <w:lvlText w:val="%1."/>
      <w:lvlJc w:val="left"/>
      <w:pPr>
        <w:ind w:left="360" w:hanging="360"/>
      </w:pPr>
      <w:rPr>
        <w:b w:val="0"/>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707789"/>
    <w:multiLevelType w:val="hybridMultilevel"/>
    <w:tmpl w:val="0CE62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97DE3"/>
    <w:multiLevelType w:val="hybridMultilevel"/>
    <w:tmpl w:val="A0FC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44CA5"/>
    <w:multiLevelType w:val="hybridMultilevel"/>
    <w:tmpl w:val="E9F88962"/>
    <w:lvl w:ilvl="0" w:tplc="B014781A">
      <w:start w:val="2"/>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 w15:restartNumberingAfterBreak="0">
    <w:nsid w:val="4AAD1BD3"/>
    <w:multiLevelType w:val="hybridMultilevel"/>
    <w:tmpl w:val="3A264FC4"/>
    <w:lvl w:ilvl="0" w:tplc="E76A71E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610B3888"/>
    <w:multiLevelType w:val="hybridMultilevel"/>
    <w:tmpl w:val="FD4A8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D49A4"/>
    <w:multiLevelType w:val="hybridMultilevel"/>
    <w:tmpl w:val="AC5CB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24485"/>
    <w:multiLevelType w:val="hybridMultilevel"/>
    <w:tmpl w:val="BAC0D95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9826B96"/>
    <w:multiLevelType w:val="hybridMultilevel"/>
    <w:tmpl w:val="6A8E4F3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C30D68"/>
    <w:multiLevelType w:val="hybridMultilevel"/>
    <w:tmpl w:val="EA58EE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EE16D6F"/>
    <w:multiLevelType w:val="hybridMultilevel"/>
    <w:tmpl w:val="F906E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F3B0202"/>
    <w:multiLevelType w:val="hybridMultilevel"/>
    <w:tmpl w:val="5D888396"/>
    <w:lvl w:ilvl="0" w:tplc="97FAC916">
      <w:start w:val="1"/>
      <w:numFmt w:val="decimal"/>
      <w:lvlText w:val="%1."/>
      <w:lvlJc w:val="left"/>
      <w:pPr>
        <w:ind w:left="72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3C92BB5"/>
    <w:multiLevelType w:val="hybridMultilevel"/>
    <w:tmpl w:val="6DEC9124"/>
    <w:lvl w:ilvl="0" w:tplc="980A5666">
      <w:start w:val="1"/>
      <w:numFmt w:val="lowerRoman"/>
      <w:lvlText w:val="(%1)"/>
      <w:lvlJc w:val="left"/>
      <w:pPr>
        <w:ind w:left="972" w:hanging="72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1" w15:restartNumberingAfterBreak="0">
    <w:nsid w:val="75452286"/>
    <w:multiLevelType w:val="hybridMultilevel"/>
    <w:tmpl w:val="47D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21"/>
  </w:num>
  <w:num w:numId="4">
    <w:abstractNumId w:val="27"/>
  </w:num>
  <w:num w:numId="5">
    <w:abstractNumId w:val="3"/>
  </w:num>
  <w:num w:numId="6">
    <w:abstractNumId w:val="10"/>
  </w:num>
  <w:num w:numId="7">
    <w:abstractNumId w:val="5"/>
  </w:num>
  <w:num w:numId="8">
    <w:abstractNumId w:val="7"/>
  </w:num>
  <w:num w:numId="9">
    <w:abstractNumId w:val="25"/>
  </w:num>
  <w:num w:numId="10">
    <w:abstractNumId w:val="4"/>
  </w:num>
  <w:num w:numId="11">
    <w:abstractNumId w:val="1"/>
  </w:num>
  <w:num w:numId="12">
    <w:abstractNumId w:val="16"/>
  </w:num>
  <w:num w:numId="13">
    <w:abstractNumId w:val="14"/>
  </w:num>
  <w:num w:numId="14">
    <w:abstractNumId w:val="9"/>
  </w:num>
  <w:num w:numId="15">
    <w:abstractNumId w:val="29"/>
  </w:num>
  <w:num w:numId="16">
    <w:abstractNumId w:val="31"/>
  </w:num>
  <w:num w:numId="17">
    <w:abstractNumId w:val="28"/>
  </w:num>
  <w:num w:numId="18">
    <w:abstractNumId w:val="20"/>
  </w:num>
  <w:num w:numId="19">
    <w:abstractNumId w:val="2"/>
  </w:num>
  <w:num w:numId="20">
    <w:abstractNumId w:val="19"/>
  </w:num>
  <w:num w:numId="21">
    <w:abstractNumId w:val="11"/>
  </w:num>
  <w:num w:numId="22">
    <w:abstractNumId w:val="17"/>
  </w:num>
  <w:num w:numId="23">
    <w:abstractNumId w:val="8"/>
  </w:num>
  <w:num w:numId="24">
    <w:abstractNumId w:val="15"/>
  </w:num>
  <w:num w:numId="25">
    <w:abstractNumId w:val="6"/>
  </w:num>
  <w:num w:numId="26">
    <w:abstractNumId w:val="0"/>
  </w:num>
  <w:num w:numId="27">
    <w:abstractNumId w:val="23"/>
  </w:num>
  <w:num w:numId="28">
    <w:abstractNumId w:val="12"/>
  </w:num>
  <w:num w:numId="29">
    <w:abstractNumId w:val="24"/>
  </w:num>
  <w:num w:numId="30">
    <w:abstractNumId w:val="30"/>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0D"/>
    <w:rsid w:val="000011DA"/>
    <w:rsid w:val="000039D4"/>
    <w:rsid w:val="000065F9"/>
    <w:rsid w:val="00012E11"/>
    <w:rsid w:val="00037DD5"/>
    <w:rsid w:val="00047F00"/>
    <w:rsid w:val="00066431"/>
    <w:rsid w:val="000A0DB3"/>
    <w:rsid w:val="000B5D58"/>
    <w:rsid w:val="000B697C"/>
    <w:rsid w:val="000C445F"/>
    <w:rsid w:val="000D46CA"/>
    <w:rsid w:val="000E0F05"/>
    <w:rsid w:val="000F3B03"/>
    <w:rsid w:val="000F65D4"/>
    <w:rsid w:val="0011446E"/>
    <w:rsid w:val="00114886"/>
    <w:rsid w:val="00124CE8"/>
    <w:rsid w:val="00127FFC"/>
    <w:rsid w:val="00135174"/>
    <w:rsid w:val="00140B0D"/>
    <w:rsid w:val="0015525D"/>
    <w:rsid w:val="00167E21"/>
    <w:rsid w:val="0017455B"/>
    <w:rsid w:val="0019102C"/>
    <w:rsid w:val="001A5C35"/>
    <w:rsid w:val="001C6301"/>
    <w:rsid w:val="001F52EA"/>
    <w:rsid w:val="001F7D09"/>
    <w:rsid w:val="0020463D"/>
    <w:rsid w:val="00204AD2"/>
    <w:rsid w:val="00204BD3"/>
    <w:rsid w:val="00230418"/>
    <w:rsid w:val="00234D89"/>
    <w:rsid w:val="00250B03"/>
    <w:rsid w:val="00256444"/>
    <w:rsid w:val="0027329A"/>
    <w:rsid w:val="002755CD"/>
    <w:rsid w:val="002803E7"/>
    <w:rsid w:val="002963E8"/>
    <w:rsid w:val="002C7871"/>
    <w:rsid w:val="002D59EA"/>
    <w:rsid w:val="002F156A"/>
    <w:rsid w:val="003028BA"/>
    <w:rsid w:val="00324823"/>
    <w:rsid w:val="00327AA6"/>
    <w:rsid w:val="00335D17"/>
    <w:rsid w:val="00345DF5"/>
    <w:rsid w:val="0037432A"/>
    <w:rsid w:val="00380718"/>
    <w:rsid w:val="003A3125"/>
    <w:rsid w:val="003C485A"/>
    <w:rsid w:val="003C7984"/>
    <w:rsid w:val="003D2DDC"/>
    <w:rsid w:val="003D5476"/>
    <w:rsid w:val="003D6D8D"/>
    <w:rsid w:val="00405639"/>
    <w:rsid w:val="004226AF"/>
    <w:rsid w:val="00433C52"/>
    <w:rsid w:val="00436E40"/>
    <w:rsid w:val="00437922"/>
    <w:rsid w:val="00465B71"/>
    <w:rsid w:val="00473C2A"/>
    <w:rsid w:val="00497905"/>
    <w:rsid w:val="004A32C1"/>
    <w:rsid w:val="004A5081"/>
    <w:rsid w:val="004C6D27"/>
    <w:rsid w:val="004D4174"/>
    <w:rsid w:val="004D4D03"/>
    <w:rsid w:val="004F0679"/>
    <w:rsid w:val="004F1259"/>
    <w:rsid w:val="004F5CE0"/>
    <w:rsid w:val="004F63EC"/>
    <w:rsid w:val="00500D29"/>
    <w:rsid w:val="00505749"/>
    <w:rsid w:val="00521D05"/>
    <w:rsid w:val="00542851"/>
    <w:rsid w:val="00587C9B"/>
    <w:rsid w:val="005A6B94"/>
    <w:rsid w:val="005A79F6"/>
    <w:rsid w:val="005B0AD1"/>
    <w:rsid w:val="005C17C5"/>
    <w:rsid w:val="005C1D1C"/>
    <w:rsid w:val="00631D04"/>
    <w:rsid w:val="00642296"/>
    <w:rsid w:val="00653D0A"/>
    <w:rsid w:val="00654D83"/>
    <w:rsid w:val="006563A2"/>
    <w:rsid w:val="0067573C"/>
    <w:rsid w:val="006B53B1"/>
    <w:rsid w:val="006B6815"/>
    <w:rsid w:val="006C12DD"/>
    <w:rsid w:val="006D5007"/>
    <w:rsid w:val="006D7181"/>
    <w:rsid w:val="006E1B4B"/>
    <w:rsid w:val="006E5BEF"/>
    <w:rsid w:val="006E6E78"/>
    <w:rsid w:val="006F0B3F"/>
    <w:rsid w:val="006F3AA6"/>
    <w:rsid w:val="00702DFF"/>
    <w:rsid w:val="00711318"/>
    <w:rsid w:val="0072313C"/>
    <w:rsid w:val="00727944"/>
    <w:rsid w:val="00737787"/>
    <w:rsid w:val="007837BF"/>
    <w:rsid w:val="007B0724"/>
    <w:rsid w:val="007B2474"/>
    <w:rsid w:val="007B6770"/>
    <w:rsid w:val="007C227B"/>
    <w:rsid w:val="007C79A1"/>
    <w:rsid w:val="007D740B"/>
    <w:rsid w:val="007D7F53"/>
    <w:rsid w:val="007E2CF5"/>
    <w:rsid w:val="007E4B81"/>
    <w:rsid w:val="008017E9"/>
    <w:rsid w:val="008210D7"/>
    <w:rsid w:val="00826263"/>
    <w:rsid w:val="00831BD8"/>
    <w:rsid w:val="008329A2"/>
    <w:rsid w:val="0083714D"/>
    <w:rsid w:val="0084789A"/>
    <w:rsid w:val="008821B2"/>
    <w:rsid w:val="008A07CB"/>
    <w:rsid w:val="008C371E"/>
    <w:rsid w:val="008C6E6F"/>
    <w:rsid w:val="008E4B9F"/>
    <w:rsid w:val="008F1851"/>
    <w:rsid w:val="008F47C4"/>
    <w:rsid w:val="008F5E32"/>
    <w:rsid w:val="0090296F"/>
    <w:rsid w:val="009064C5"/>
    <w:rsid w:val="00910DBB"/>
    <w:rsid w:val="0091484C"/>
    <w:rsid w:val="00916362"/>
    <w:rsid w:val="00917B78"/>
    <w:rsid w:val="00935EE3"/>
    <w:rsid w:val="009456F3"/>
    <w:rsid w:val="00951D3D"/>
    <w:rsid w:val="00966FCC"/>
    <w:rsid w:val="0097059C"/>
    <w:rsid w:val="009945DE"/>
    <w:rsid w:val="009C0228"/>
    <w:rsid w:val="009D742E"/>
    <w:rsid w:val="009E0CBA"/>
    <w:rsid w:val="009E4401"/>
    <w:rsid w:val="009F4188"/>
    <w:rsid w:val="00A17406"/>
    <w:rsid w:val="00A22AA2"/>
    <w:rsid w:val="00A22D30"/>
    <w:rsid w:val="00A339B4"/>
    <w:rsid w:val="00A92009"/>
    <w:rsid w:val="00AA7887"/>
    <w:rsid w:val="00AB656A"/>
    <w:rsid w:val="00AD0F36"/>
    <w:rsid w:val="00AF09AD"/>
    <w:rsid w:val="00AF7E85"/>
    <w:rsid w:val="00B0574F"/>
    <w:rsid w:val="00B10970"/>
    <w:rsid w:val="00B136CC"/>
    <w:rsid w:val="00B14E34"/>
    <w:rsid w:val="00B40667"/>
    <w:rsid w:val="00B65726"/>
    <w:rsid w:val="00B70001"/>
    <w:rsid w:val="00B77F40"/>
    <w:rsid w:val="00B8499D"/>
    <w:rsid w:val="00B864CE"/>
    <w:rsid w:val="00BC204D"/>
    <w:rsid w:val="00BC49D0"/>
    <w:rsid w:val="00BC58D8"/>
    <w:rsid w:val="00BC7120"/>
    <w:rsid w:val="00BE0EDE"/>
    <w:rsid w:val="00BF2A3D"/>
    <w:rsid w:val="00C03E42"/>
    <w:rsid w:val="00C14658"/>
    <w:rsid w:val="00C44CC5"/>
    <w:rsid w:val="00C45F4C"/>
    <w:rsid w:val="00C641AF"/>
    <w:rsid w:val="00C656D5"/>
    <w:rsid w:val="00C67327"/>
    <w:rsid w:val="00C765FC"/>
    <w:rsid w:val="00C8744B"/>
    <w:rsid w:val="00CA3310"/>
    <w:rsid w:val="00CC5C89"/>
    <w:rsid w:val="00CC6FE5"/>
    <w:rsid w:val="00CD4BF1"/>
    <w:rsid w:val="00CF42AB"/>
    <w:rsid w:val="00D05EDB"/>
    <w:rsid w:val="00D06DE3"/>
    <w:rsid w:val="00D11482"/>
    <w:rsid w:val="00D2071C"/>
    <w:rsid w:val="00D646EC"/>
    <w:rsid w:val="00D649CC"/>
    <w:rsid w:val="00D74C94"/>
    <w:rsid w:val="00D91486"/>
    <w:rsid w:val="00DA2281"/>
    <w:rsid w:val="00DA4F4F"/>
    <w:rsid w:val="00DC495C"/>
    <w:rsid w:val="00DC6DFC"/>
    <w:rsid w:val="00DD677B"/>
    <w:rsid w:val="00DE1775"/>
    <w:rsid w:val="00DE4EF1"/>
    <w:rsid w:val="00DF4D79"/>
    <w:rsid w:val="00DF72BE"/>
    <w:rsid w:val="00E00F04"/>
    <w:rsid w:val="00E41DEA"/>
    <w:rsid w:val="00E54BD0"/>
    <w:rsid w:val="00E70088"/>
    <w:rsid w:val="00E8372F"/>
    <w:rsid w:val="00E973A8"/>
    <w:rsid w:val="00EB0AE3"/>
    <w:rsid w:val="00ED0ED2"/>
    <w:rsid w:val="00ED7EC4"/>
    <w:rsid w:val="00F17F95"/>
    <w:rsid w:val="00F344F1"/>
    <w:rsid w:val="00F437B6"/>
    <w:rsid w:val="00F44A5D"/>
    <w:rsid w:val="00F569F2"/>
    <w:rsid w:val="00F71A53"/>
    <w:rsid w:val="00F774A0"/>
    <w:rsid w:val="00F803E7"/>
    <w:rsid w:val="00F946BF"/>
    <w:rsid w:val="00FB10D3"/>
    <w:rsid w:val="00FD699C"/>
    <w:rsid w:val="00FE1947"/>
    <w:rsid w:val="00FF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3421E"/>
  <w15:chartTrackingRefBased/>
  <w15:docId w15:val="{9531C59D-5057-483D-91E3-0C4DCF50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40B0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40B0D"/>
    <w:pPr>
      <w:keepNext/>
      <w:jc w:val="both"/>
      <w:outlineLvl w:val="2"/>
    </w:pPr>
    <w:rPr>
      <w:rFonts w:ascii="Arial" w:hAnsi="Arial" w:cs="Arial"/>
      <w:b/>
      <w:bCs/>
      <w:sz w:val="28"/>
      <w:u w:val="single"/>
    </w:rPr>
  </w:style>
  <w:style w:type="paragraph" w:styleId="Heading5">
    <w:name w:val="heading 5"/>
    <w:basedOn w:val="Normal"/>
    <w:next w:val="Normal"/>
    <w:qFormat/>
    <w:rsid w:val="00140B0D"/>
    <w:pPr>
      <w:keepNext/>
      <w:jc w:val="center"/>
      <w:outlineLvl w:val="4"/>
    </w:pPr>
    <w:rPr>
      <w:rFonts w:ascii="Arial" w:hAnsi="Arial" w:cs="Arial"/>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0B0D"/>
    <w:pPr>
      <w:tabs>
        <w:tab w:val="center" w:pos="4320"/>
        <w:tab w:val="right" w:pos="8640"/>
      </w:tabs>
    </w:pPr>
  </w:style>
  <w:style w:type="paragraph" w:styleId="Footer">
    <w:name w:val="footer"/>
    <w:basedOn w:val="Normal"/>
    <w:link w:val="FooterChar"/>
    <w:uiPriority w:val="99"/>
    <w:rsid w:val="00140B0D"/>
    <w:pPr>
      <w:tabs>
        <w:tab w:val="center" w:pos="4320"/>
        <w:tab w:val="right" w:pos="8640"/>
      </w:tabs>
    </w:pPr>
  </w:style>
  <w:style w:type="table" w:styleId="TableColorful3">
    <w:name w:val="Table Colorful 3"/>
    <w:aliases w:val="Table Colorful CWEA"/>
    <w:basedOn w:val="TableNormal"/>
    <w:rsid w:val="00140B0D"/>
    <w:rPr>
      <w:rFonts w:ascii="Arial" w:hAnsi="Arial"/>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8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Heading2Char">
    <w:name w:val="Heading 2 Char"/>
    <w:link w:val="Heading2"/>
    <w:rsid w:val="00140B0D"/>
    <w:rPr>
      <w:rFonts w:ascii="Arial" w:hAnsi="Arial" w:cs="Arial"/>
      <w:b/>
      <w:bCs/>
      <w:i/>
      <w:iCs/>
      <w:sz w:val="28"/>
      <w:szCs w:val="28"/>
      <w:lang w:val="en-GB" w:eastAsia="en-US" w:bidi="ar-SA"/>
    </w:rPr>
  </w:style>
  <w:style w:type="character" w:customStyle="1" w:styleId="Heading3Char">
    <w:name w:val="Heading 3 Char"/>
    <w:link w:val="Heading3"/>
    <w:rsid w:val="00140B0D"/>
    <w:rPr>
      <w:rFonts w:ascii="Arial" w:hAnsi="Arial" w:cs="Arial"/>
      <w:b/>
      <w:bCs/>
      <w:sz w:val="28"/>
      <w:szCs w:val="24"/>
      <w:u w:val="single"/>
      <w:lang w:val="en-GB" w:eastAsia="en-US" w:bidi="ar-SA"/>
    </w:rPr>
  </w:style>
  <w:style w:type="table" w:styleId="TableGrid">
    <w:name w:val="Table Grid"/>
    <w:basedOn w:val="TableNormal"/>
    <w:rsid w:val="0014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649CC"/>
    <w:rPr>
      <w:sz w:val="24"/>
      <w:szCs w:val="24"/>
      <w:lang w:eastAsia="en-US"/>
    </w:rPr>
  </w:style>
  <w:style w:type="paragraph" w:styleId="BalloonText">
    <w:name w:val="Balloon Text"/>
    <w:basedOn w:val="Normal"/>
    <w:link w:val="BalloonTextChar"/>
    <w:rsid w:val="00D649CC"/>
    <w:rPr>
      <w:rFonts w:ascii="Tahoma" w:hAnsi="Tahoma" w:cs="Tahoma"/>
      <w:sz w:val="16"/>
      <w:szCs w:val="16"/>
    </w:rPr>
  </w:style>
  <w:style w:type="character" w:customStyle="1" w:styleId="BalloonTextChar">
    <w:name w:val="Balloon Text Char"/>
    <w:link w:val="BalloonText"/>
    <w:rsid w:val="00D649CC"/>
    <w:rPr>
      <w:rFonts w:ascii="Tahoma" w:hAnsi="Tahoma" w:cs="Tahoma"/>
      <w:sz w:val="16"/>
      <w:szCs w:val="16"/>
      <w:lang w:eastAsia="en-US"/>
    </w:rPr>
  </w:style>
  <w:style w:type="paragraph" w:styleId="NormalWeb">
    <w:name w:val="Normal (Web)"/>
    <w:basedOn w:val="Normal"/>
    <w:uiPriority w:val="99"/>
    <w:unhideWhenUsed/>
    <w:rsid w:val="0097059C"/>
    <w:pPr>
      <w:spacing w:before="100" w:beforeAutospacing="1" w:after="100" w:afterAutospacing="1"/>
    </w:pPr>
    <w:rPr>
      <w:rFonts w:eastAsia="Calibri"/>
      <w:lang w:eastAsia="en-GB"/>
    </w:rPr>
  </w:style>
  <w:style w:type="paragraph" w:styleId="BodyText2">
    <w:name w:val="Body Text 2"/>
    <w:link w:val="BodyText2Char"/>
    <w:rsid w:val="00CC5C89"/>
    <w:pPr>
      <w:numPr>
        <w:numId w:val="11"/>
      </w:numPr>
      <w:spacing w:after="180" w:line="288" w:lineRule="auto"/>
      <w:jc w:val="both"/>
    </w:pPr>
    <w:rPr>
      <w:rFonts w:ascii="Cambria" w:hAnsi="Cambria"/>
      <w:sz w:val="21"/>
      <w:szCs w:val="22"/>
    </w:rPr>
  </w:style>
  <w:style w:type="character" w:customStyle="1" w:styleId="BodyText2Char">
    <w:name w:val="Body Text 2 Char"/>
    <w:link w:val="BodyText2"/>
    <w:rsid w:val="00CC5C89"/>
    <w:rPr>
      <w:rFonts w:ascii="Cambria" w:hAnsi="Cambria"/>
      <w:sz w:val="21"/>
      <w:szCs w:val="22"/>
    </w:rPr>
  </w:style>
  <w:style w:type="paragraph" w:styleId="FootnoteText">
    <w:name w:val="footnote text"/>
    <w:basedOn w:val="Normal"/>
    <w:link w:val="FootnoteTextChar"/>
    <w:unhideWhenUsed/>
    <w:rsid w:val="0083714D"/>
    <w:pPr>
      <w:spacing w:after="120" w:line="264" w:lineRule="auto"/>
    </w:pPr>
    <w:rPr>
      <w:rFonts w:ascii="Arial" w:hAnsi="Arial"/>
      <w:sz w:val="20"/>
      <w:szCs w:val="20"/>
      <w:lang w:val="x-none"/>
    </w:rPr>
  </w:style>
  <w:style w:type="character" w:customStyle="1" w:styleId="FootnoteTextChar">
    <w:name w:val="Footnote Text Char"/>
    <w:link w:val="FootnoteText"/>
    <w:rsid w:val="0083714D"/>
    <w:rPr>
      <w:rFonts w:ascii="Arial" w:hAnsi="Arial"/>
      <w:lang w:val="x-none" w:eastAsia="en-US"/>
    </w:rPr>
  </w:style>
  <w:style w:type="character" w:styleId="FootnoteReference">
    <w:name w:val="footnote reference"/>
    <w:unhideWhenUsed/>
    <w:rsid w:val="0083714D"/>
    <w:rPr>
      <w:vertAlign w:val="superscript"/>
    </w:rPr>
  </w:style>
  <w:style w:type="paragraph" w:styleId="ListParagraph">
    <w:name w:val="List Paragraph"/>
    <w:basedOn w:val="Normal"/>
    <w:uiPriority w:val="34"/>
    <w:qFormat/>
    <w:rsid w:val="000E0F05"/>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7B24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6924">
      <w:bodyDiv w:val="1"/>
      <w:marLeft w:val="0"/>
      <w:marRight w:val="0"/>
      <w:marTop w:val="0"/>
      <w:marBottom w:val="0"/>
      <w:divBdr>
        <w:top w:val="none" w:sz="0" w:space="0" w:color="auto"/>
        <w:left w:val="none" w:sz="0" w:space="0" w:color="auto"/>
        <w:bottom w:val="none" w:sz="0" w:space="0" w:color="auto"/>
        <w:right w:val="none" w:sz="0" w:space="0" w:color="auto"/>
      </w:divBdr>
    </w:div>
    <w:div w:id="794565343">
      <w:bodyDiv w:val="1"/>
      <w:marLeft w:val="0"/>
      <w:marRight w:val="0"/>
      <w:marTop w:val="0"/>
      <w:marBottom w:val="0"/>
      <w:divBdr>
        <w:top w:val="none" w:sz="0" w:space="0" w:color="auto"/>
        <w:left w:val="none" w:sz="0" w:space="0" w:color="auto"/>
        <w:bottom w:val="none" w:sz="0" w:space="0" w:color="auto"/>
        <w:right w:val="none" w:sz="0" w:space="0" w:color="auto"/>
      </w:divBdr>
    </w:div>
    <w:div w:id="1054348553">
      <w:bodyDiv w:val="1"/>
      <w:marLeft w:val="0"/>
      <w:marRight w:val="0"/>
      <w:marTop w:val="0"/>
      <w:marBottom w:val="0"/>
      <w:divBdr>
        <w:top w:val="none" w:sz="0" w:space="0" w:color="auto"/>
        <w:left w:val="none" w:sz="0" w:space="0" w:color="auto"/>
        <w:bottom w:val="none" w:sz="0" w:space="0" w:color="auto"/>
        <w:right w:val="none" w:sz="0" w:space="0" w:color="auto"/>
      </w:divBdr>
    </w:div>
    <w:div w:id="1238899200">
      <w:bodyDiv w:val="1"/>
      <w:marLeft w:val="0"/>
      <w:marRight w:val="0"/>
      <w:marTop w:val="0"/>
      <w:marBottom w:val="0"/>
      <w:divBdr>
        <w:top w:val="none" w:sz="0" w:space="0" w:color="auto"/>
        <w:left w:val="none" w:sz="0" w:space="0" w:color="auto"/>
        <w:bottom w:val="none" w:sz="0" w:space="0" w:color="auto"/>
        <w:right w:val="none" w:sz="0" w:space="0" w:color="auto"/>
      </w:divBdr>
    </w:div>
    <w:div w:id="1276060791">
      <w:bodyDiv w:val="1"/>
      <w:marLeft w:val="0"/>
      <w:marRight w:val="0"/>
      <w:marTop w:val="0"/>
      <w:marBottom w:val="0"/>
      <w:divBdr>
        <w:top w:val="none" w:sz="0" w:space="0" w:color="auto"/>
        <w:left w:val="none" w:sz="0" w:space="0" w:color="auto"/>
        <w:bottom w:val="none" w:sz="0" w:space="0" w:color="auto"/>
        <w:right w:val="none" w:sz="0" w:space="0" w:color="auto"/>
      </w:divBdr>
    </w:div>
    <w:div w:id="1638411157">
      <w:bodyDiv w:val="1"/>
      <w:marLeft w:val="0"/>
      <w:marRight w:val="0"/>
      <w:marTop w:val="0"/>
      <w:marBottom w:val="0"/>
      <w:divBdr>
        <w:top w:val="none" w:sz="0" w:space="0" w:color="auto"/>
        <w:left w:val="none" w:sz="0" w:space="0" w:color="auto"/>
        <w:bottom w:val="none" w:sz="0" w:space="0" w:color="auto"/>
        <w:right w:val="none" w:sz="0" w:space="0" w:color="auto"/>
      </w:divBdr>
    </w:div>
    <w:div w:id="20312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C9EDE-7D12-49A4-BA01-5B429AB9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Cheshire &amp; Warrington Economic Alliance</vt:lpstr>
    </vt:vector>
  </TitlesOfParts>
  <Company>CWEA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Cheshire &amp; Warrington Economic Alliance</dc:title>
  <dc:subject/>
  <dc:creator>Joan Thompson</dc:creator>
  <cp:keywords/>
  <cp:lastModifiedBy>Mark Livesey</cp:lastModifiedBy>
  <cp:revision>2</cp:revision>
  <cp:lastPrinted>2017-06-15T13:36:00Z</cp:lastPrinted>
  <dcterms:created xsi:type="dcterms:W3CDTF">2017-06-15T15:09:00Z</dcterms:created>
  <dcterms:modified xsi:type="dcterms:W3CDTF">2017-06-15T15:09:00Z</dcterms:modified>
</cp:coreProperties>
</file>