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0107" w14:textId="6480C695" w:rsidR="00EE5F90" w:rsidRDefault="000627E8" w:rsidP="00ED565F">
      <w:r>
        <w:t xml:space="preserve"> </w:t>
      </w:r>
    </w:p>
    <w:p w14:paraId="68CD984C" w14:textId="77777777" w:rsidR="00D82618" w:rsidRDefault="00D82618" w:rsidP="000D76BF">
      <w:pPr>
        <w:spacing w:after="0" w:line="240" w:lineRule="auto"/>
        <w:jc w:val="center"/>
        <w:rPr>
          <w:b/>
          <w:sz w:val="36"/>
          <w:szCs w:val="36"/>
        </w:rPr>
      </w:pPr>
    </w:p>
    <w:p w14:paraId="3EA93E53" w14:textId="77777777" w:rsidR="008122E7" w:rsidRDefault="008122E7" w:rsidP="00266EFD">
      <w:pPr>
        <w:spacing w:after="0"/>
        <w:jc w:val="center"/>
        <w:rPr>
          <w:rFonts w:asciiTheme="minorHAnsi" w:hAnsiTheme="minorHAnsi"/>
          <w:b/>
          <w:sz w:val="28"/>
          <w:szCs w:val="28"/>
        </w:rPr>
      </w:pPr>
      <w:bookmarkStart w:id="0" w:name="_Hlk8297665"/>
    </w:p>
    <w:p w14:paraId="1776A095" w14:textId="7AF5B18C" w:rsidR="008122E7" w:rsidRPr="00ED0522" w:rsidRDefault="008122E7" w:rsidP="00266EFD">
      <w:pPr>
        <w:spacing w:after="120"/>
        <w:jc w:val="center"/>
        <w:rPr>
          <w:rFonts w:asciiTheme="minorHAnsi" w:hAnsiTheme="minorHAnsi"/>
          <w:b/>
          <w:sz w:val="28"/>
          <w:szCs w:val="28"/>
        </w:rPr>
      </w:pPr>
      <w:r w:rsidRPr="00ED0522">
        <w:rPr>
          <w:rFonts w:asciiTheme="minorHAnsi" w:hAnsiTheme="minorHAnsi"/>
          <w:b/>
          <w:sz w:val="28"/>
          <w:szCs w:val="28"/>
        </w:rPr>
        <w:t>Cheshire and Warrington Local Enterprise Partnership Board Meeting</w:t>
      </w:r>
    </w:p>
    <w:tbl>
      <w:tblPr>
        <w:tblStyle w:val="TableGrid"/>
        <w:tblW w:w="9781" w:type="dxa"/>
        <w:tblInd w:w="-5" w:type="dxa"/>
        <w:tblLook w:val="04A0" w:firstRow="1" w:lastRow="0" w:firstColumn="1" w:lastColumn="0" w:noHBand="0" w:noVBand="1"/>
      </w:tblPr>
      <w:tblGrid>
        <w:gridCol w:w="1560"/>
        <w:gridCol w:w="8221"/>
      </w:tblGrid>
      <w:tr w:rsidR="008122E7" w:rsidRPr="00ED0522" w14:paraId="460117FA" w14:textId="77777777" w:rsidTr="008122E7">
        <w:tc>
          <w:tcPr>
            <w:tcW w:w="1560" w:type="dxa"/>
            <w:shd w:val="clear" w:color="auto" w:fill="F2F2F2" w:themeFill="background1" w:themeFillShade="F2"/>
          </w:tcPr>
          <w:p w14:paraId="3CFB420E" w14:textId="77777777" w:rsidR="008122E7" w:rsidRPr="00ED0522" w:rsidRDefault="008122E7" w:rsidP="00E601CA">
            <w:pPr>
              <w:rPr>
                <w:rFonts w:asciiTheme="minorHAnsi" w:hAnsiTheme="minorHAnsi"/>
                <w:b/>
              </w:rPr>
            </w:pPr>
            <w:r w:rsidRPr="00ED0522">
              <w:rPr>
                <w:rFonts w:asciiTheme="minorHAnsi" w:hAnsiTheme="minorHAnsi"/>
                <w:b/>
              </w:rPr>
              <w:t xml:space="preserve">Agenda Item: </w:t>
            </w:r>
          </w:p>
        </w:tc>
        <w:tc>
          <w:tcPr>
            <w:tcW w:w="8221" w:type="dxa"/>
          </w:tcPr>
          <w:p w14:paraId="0E21E955" w14:textId="75282A8A" w:rsidR="008122E7" w:rsidRPr="008122E7" w:rsidRDefault="006045EA" w:rsidP="00E601CA">
            <w:pPr>
              <w:rPr>
                <w:rFonts w:cstheme="majorHAnsi"/>
                <w:bCs/>
              </w:rPr>
            </w:pPr>
            <w:r>
              <w:rPr>
                <w:rFonts w:cstheme="majorHAnsi"/>
                <w:bCs/>
              </w:rPr>
              <w:t>7 (i)</w:t>
            </w:r>
            <w:bookmarkStart w:id="1" w:name="_GoBack"/>
            <w:bookmarkEnd w:id="1"/>
          </w:p>
        </w:tc>
      </w:tr>
      <w:tr w:rsidR="008122E7" w:rsidRPr="00ED0522" w14:paraId="5E51B579" w14:textId="77777777" w:rsidTr="008122E7">
        <w:tc>
          <w:tcPr>
            <w:tcW w:w="1560" w:type="dxa"/>
            <w:shd w:val="clear" w:color="auto" w:fill="F2F2F2" w:themeFill="background1" w:themeFillShade="F2"/>
          </w:tcPr>
          <w:p w14:paraId="3301B135" w14:textId="77777777" w:rsidR="008122E7" w:rsidRPr="00ED0522" w:rsidRDefault="008122E7" w:rsidP="00E601CA">
            <w:pPr>
              <w:rPr>
                <w:rFonts w:asciiTheme="minorHAnsi" w:hAnsiTheme="minorHAnsi"/>
                <w:b/>
              </w:rPr>
            </w:pPr>
            <w:r w:rsidRPr="00ED0522">
              <w:rPr>
                <w:rFonts w:asciiTheme="minorHAnsi" w:hAnsiTheme="minorHAnsi"/>
                <w:b/>
              </w:rPr>
              <w:t>Subject:</w:t>
            </w:r>
          </w:p>
        </w:tc>
        <w:tc>
          <w:tcPr>
            <w:tcW w:w="8221" w:type="dxa"/>
          </w:tcPr>
          <w:p w14:paraId="62F7FA7F" w14:textId="0081575D" w:rsidR="008122E7" w:rsidRPr="008122E7" w:rsidRDefault="008122E7" w:rsidP="00E601CA">
            <w:pPr>
              <w:rPr>
                <w:rFonts w:cstheme="majorHAnsi"/>
                <w:bCs/>
              </w:rPr>
            </w:pPr>
            <w:r w:rsidRPr="008122E7">
              <w:rPr>
                <w:rFonts w:cstheme="majorHAnsi"/>
                <w:bCs/>
              </w:rPr>
              <w:t xml:space="preserve">Enterprise Zone Investment – </w:t>
            </w:r>
            <w:r>
              <w:rPr>
                <w:rFonts w:cstheme="majorHAnsi"/>
                <w:bCs/>
              </w:rPr>
              <w:t>Quadrant Phase 2, Birchwood Park</w:t>
            </w:r>
          </w:p>
        </w:tc>
      </w:tr>
      <w:tr w:rsidR="008122E7" w:rsidRPr="00ED0522" w14:paraId="5365539D" w14:textId="77777777" w:rsidTr="008122E7">
        <w:tc>
          <w:tcPr>
            <w:tcW w:w="1560" w:type="dxa"/>
            <w:shd w:val="clear" w:color="auto" w:fill="F2F2F2" w:themeFill="background1" w:themeFillShade="F2"/>
          </w:tcPr>
          <w:p w14:paraId="7FABCCE7" w14:textId="77777777" w:rsidR="008122E7" w:rsidRPr="00ED0522" w:rsidRDefault="008122E7" w:rsidP="00E601CA">
            <w:pPr>
              <w:rPr>
                <w:rFonts w:asciiTheme="minorHAnsi" w:hAnsiTheme="minorHAnsi"/>
                <w:b/>
              </w:rPr>
            </w:pPr>
            <w:r w:rsidRPr="00ED0522">
              <w:rPr>
                <w:rFonts w:asciiTheme="minorHAnsi" w:hAnsiTheme="minorHAnsi"/>
                <w:b/>
              </w:rPr>
              <w:t>Author:</w:t>
            </w:r>
          </w:p>
        </w:tc>
        <w:tc>
          <w:tcPr>
            <w:tcW w:w="8221" w:type="dxa"/>
          </w:tcPr>
          <w:p w14:paraId="7CE0B3F9" w14:textId="77777777" w:rsidR="008122E7" w:rsidRPr="008122E7" w:rsidRDefault="008122E7" w:rsidP="00E601CA">
            <w:pPr>
              <w:rPr>
                <w:rFonts w:cstheme="majorHAnsi"/>
                <w:bCs/>
              </w:rPr>
            </w:pPr>
            <w:r w:rsidRPr="008122E7">
              <w:rPr>
                <w:rFonts w:cstheme="majorHAnsi"/>
                <w:bCs/>
              </w:rPr>
              <w:t>John Adlen</w:t>
            </w:r>
          </w:p>
        </w:tc>
      </w:tr>
      <w:tr w:rsidR="008122E7" w:rsidRPr="00ED0522" w14:paraId="0C1C78D8" w14:textId="77777777" w:rsidTr="008122E7">
        <w:tc>
          <w:tcPr>
            <w:tcW w:w="1560" w:type="dxa"/>
            <w:shd w:val="clear" w:color="auto" w:fill="F2F2F2" w:themeFill="background1" w:themeFillShade="F2"/>
          </w:tcPr>
          <w:p w14:paraId="7145871F" w14:textId="77777777" w:rsidR="008122E7" w:rsidRPr="00ED0522" w:rsidRDefault="008122E7" w:rsidP="00E601CA">
            <w:pPr>
              <w:rPr>
                <w:rFonts w:asciiTheme="minorHAnsi" w:hAnsiTheme="minorHAnsi"/>
                <w:b/>
              </w:rPr>
            </w:pPr>
            <w:r w:rsidRPr="00ED0522">
              <w:rPr>
                <w:rFonts w:asciiTheme="minorHAnsi" w:hAnsiTheme="minorHAnsi"/>
                <w:b/>
              </w:rPr>
              <w:t>Date:</w:t>
            </w:r>
          </w:p>
        </w:tc>
        <w:tc>
          <w:tcPr>
            <w:tcW w:w="8221" w:type="dxa"/>
          </w:tcPr>
          <w:p w14:paraId="135DAF58" w14:textId="7A97F2EA" w:rsidR="008122E7" w:rsidRPr="008122E7" w:rsidRDefault="008122E7" w:rsidP="00E601CA">
            <w:pPr>
              <w:rPr>
                <w:rFonts w:cstheme="majorHAnsi"/>
                <w:bCs/>
              </w:rPr>
            </w:pPr>
            <w:r>
              <w:rPr>
                <w:rFonts w:cstheme="majorHAnsi"/>
                <w:bCs/>
              </w:rPr>
              <w:t>18 March 2020</w:t>
            </w:r>
          </w:p>
        </w:tc>
      </w:tr>
    </w:tbl>
    <w:bookmarkEnd w:id="0"/>
    <w:p w14:paraId="63B168AD" w14:textId="222F4F67" w:rsidR="0058398E" w:rsidRDefault="008122E7" w:rsidP="00270AFF">
      <w:pPr>
        <w:pStyle w:val="Heading1"/>
        <w:numPr>
          <w:ilvl w:val="0"/>
          <w:numId w:val="23"/>
        </w:numPr>
        <w:spacing w:after="0"/>
        <w:ind w:left="425" w:hanging="425"/>
        <w:jc w:val="both"/>
      </w:pPr>
      <w:r>
        <w:t>Executive summary</w:t>
      </w:r>
    </w:p>
    <w:p w14:paraId="7397F5C1" w14:textId="643E9F2A" w:rsidR="00DF562A" w:rsidRDefault="00DF562A" w:rsidP="00A46DFD">
      <w:pPr>
        <w:ind w:left="426"/>
        <w:jc w:val="both"/>
      </w:pPr>
      <w:r w:rsidRPr="00DF562A">
        <w:t xml:space="preserve">WBC Birchwood Park Trustee Limited (as Trustee of the WBC Birchwood Park Unit Trust) </w:t>
      </w:r>
      <w:r w:rsidR="008122E7">
        <w:t xml:space="preserve">has applied </w:t>
      </w:r>
      <w:r w:rsidRPr="00DF562A">
        <w:t xml:space="preserve">for an investment of </w:t>
      </w:r>
      <w:r>
        <w:t xml:space="preserve">up a maximum of </w:t>
      </w:r>
      <w:r w:rsidRPr="00DF562A">
        <w:t>£3,618,000</w:t>
      </w:r>
      <w:r>
        <w:t xml:space="preserve"> </w:t>
      </w:r>
      <w:r w:rsidRPr="00DF562A">
        <w:t xml:space="preserve">to deliver a £15.2m project to develop five industrial units totalling 15,773 sq m (169,785 sq ft) at Birchwood Park, Warrington. The scheme could generate c.£436k per annum in retained business rates, providing a payback of </w:t>
      </w:r>
      <w:r>
        <w:t>up to</w:t>
      </w:r>
      <w:r w:rsidRPr="00DF562A">
        <w:t xml:space="preserve"> </w:t>
      </w:r>
      <w:r>
        <w:t>8.</w:t>
      </w:r>
      <w:r w:rsidRPr="00DF562A">
        <w:t xml:space="preserve">3 </w:t>
      </w:r>
      <w:r>
        <w:t xml:space="preserve">years </w:t>
      </w:r>
      <w:r w:rsidRPr="00DF562A">
        <w:t xml:space="preserve">and potentially generating up to £9.1m in retained business rates over the lifetime of the EZ. The applicant is seeking grant funding </w:t>
      </w:r>
      <w:proofErr w:type="gramStart"/>
      <w:r w:rsidRPr="00DF562A">
        <w:t>on the basis of</w:t>
      </w:r>
      <w:proofErr w:type="gramEnd"/>
      <w:r w:rsidRPr="00DF562A">
        <w:t xml:space="preserve"> a gap in the overall financial viability of the scheme on the basis of an undeliverable return on investment owing to risk without EZ support.</w:t>
      </w:r>
    </w:p>
    <w:p w14:paraId="161A41C3" w14:textId="1DCED76A" w:rsidR="00F156F1" w:rsidRDefault="005E1AC8" w:rsidP="00A46DFD">
      <w:pPr>
        <w:ind w:left="426"/>
        <w:jc w:val="both"/>
      </w:pPr>
      <w:r>
        <w:t>The Quadrant Phase 2 investment was approved by the</w:t>
      </w:r>
      <w:r w:rsidR="00F156F1">
        <w:t xml:space="preserve"> Enterprise Zone Board </w:t>
      </w:r>
      <w:r>
        <w:t xml:space="preserve">at its meeting of </w:t>
      </w:r>
      <w:r w:rsidR="0055696F">
        <w:t>24 January 2019</w:t>
      </w:r>
      <w:r>
        <w:t xml:space="preserve"> </w:t>
      </w:r>
      <w:r w:rsidR="00F156F1">
        <w:t xml:space="preserve">and </w:t>
      </w:r>
      <w:r>
        <w:t xml:space="preserve">was approved by </w:t>
      </w:r>
      <w:r w:rsidR="00F156F1">
        <w:t xml:space="preserve">the Performance &amp; Investment Committee </w:t>
      </w:r>
      <w:r>
        <w:t xml:space="preserve">at its meeting of </w:t>
      </w:r>
      <w:r w:rsidR="00B51B2D">
        <w:t>21</w:t>
      </w:r>
      <w:r w:rsidR="00B51B2D">
        <w:rPr>
          <w:vertAlign w:val="superscript"/>
        </w:rPr>
        <w:t xml:space="preserve"> </w:t>
      </w:r>
      <w:r w:rsidR="00B51B2D">
        <w:t>March 2019</w:t>
      </w:r>
      <w:r w:rsidR="00F156F1">
        <w:t>. As the investment could potentially be over the £2.5m delegation limit to the EZ Board, it is being presented to the LEP Board for</w:t>
      </w:r>
      <w:r>
        <w:t xml:space="preserve"> final</w:t>
      </w:r>
      <w:r w:rsidR="00F156F1">
        <w:t xml:space="preserve"> approval.</w:t>
      </w:r>
    </w:p>
    <w:p w14:paraId="42CE1D28" w14:textId="660D5049" w:rsidR="00FD4CBE" w:rsidRDefault="00FD4CBE" w:rsidP="00A46DFD">
      <w:pPr>
        <w:ind w:left="426"/>
        <w:jc w:val="both"/>
      </w:pPr>
      <w:r>
        <w:t>A copy of the term sheet is attached at Appendix A of this report. In order to cut down on the level of paperwork</w:t>
      </w:r>
      <w:r w:rsidR="00396B17">
        <w:t xml:space="preserve"> distributed</w:t>
      </w:r>
      <w:r>
        <w:t xml:space="preserve">, copies of the full business case and the Cushman &amp; Wakefield appraisal report are available to </w:t>
      </w:r>
      <w:r w:rsidR="00396B17">
        <w:t>Board M</w:t>
      </w:r>
      <w:r>
        <w:t>embers on request.</w:t>
      </w:r>
    </w:p>
    <w:p w14:paraId="54440BCB" w14:textId="1254590D" w:rsidR="00147308" w:rsidRDefault="00147308" w:rsidP="00270AFF">
      <w:pPr>
        <w:pStyle w:val="Heading1"/>
        <w:numPr>
          <w:ilvl w:val="0"/>
          <w:numId w:val="23"/>
        </w:numPr>
        <w:spacing w:after="0"/>
        <w:ind w:left="425" w:hanging="425"/>
        <w:jc w:val="both"/>
        <w:rPr>
          <w:rFonts w:cstheme="majorHAnsi"/>
        </w:rPr>
      </w:pPr>
      <w:r w:rsidRPr="00F073C7">
        <w:rPr>
          <w:rFonts w:cstheme="majorHAnsi"/>
        </w:rPr>
        <w:t>Recommendations</w:t>
      </w:r>
      <w:r w:rsidR="008122E7">
        <w:rPr>
          <w:rFonts w:cstheme="majorHAnsi"/>
        </w:rPr>
        <w:t>/actions/decisions required</w:t>
      </w:r>
    </w:p>
    <w:p w14:paraId="06B901B8" w14:textId="115C7574" w:rsidR="00266EFD" w:rsidRDefault="00A07B4E" w:rsidP="00266EFD">
      <w:pPr>
        <w:ind w:left="425"/>
        <w:jc w:val="both"/>
      </w:pPr>
      <w:bookmarkStart w:id="2" w:name="_Hlk34843151"/>
      <w:r>
        <w:t>I</w:t>
      </w:r>
      <w:r w:rsidR="00266EFD" w:rsidRPr="00F156F1">
        <w:t xml:space="preserve">t </w:t>
      </w:r>
      <w:r w:rsidR="00266EFD">
        <w:t>is recommended that the LEP Board ratifies the decision of the Enterprise Zone Board and the Performance &amp; Investment Committee</w:t>
      </w:r>
      <w:r w:rsidR="00266EFD" w:rsidRPr="00F156F1">
        <w:t xml:space="preserve"> </w:t>
      </w:r>
      <w:r w:rsidR="00266EFD">
        <w:t xml:space="preserve">to approve the investment in the Quadrant Phase 2 scheme at Birchwood Park and delegates authority to the </w:t>
      </w:r>
      <w:r w:rsidR="00CB5C2F">
        <w:t xml:space="preserve">Chair of the LEP Board and the </w:t>
      </w:r>
      <w:r w:rsidR="00266EFD">
        <w:t xml:space="preserve">Chair of the Enterprise Zone Board to sign </w:t>
      </w:r>
      <w:r w:rsidR="00CB5C2F">
        <w:t xml:space="preserve">off </w:t>
      </w:r>
      <w:r w:rsidR="00266EFD">
        <w:t>the legal agreement with the applicant, subject to the EZ loan facility being in place.</w:t>
      </w:r>
    </w:p>
    <w:p w14:paraId="440A6739" w14:textId="77777777" w:rsidR="00270AFF" w:rsidRPr="00270AFF" w:rsidRDefault="00270AFF" w:rsidP="00270AFF">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bookmarkStart w:id="3" w:name="_Hlk519425815"/>
      <w:bookmarkEnd w:id="2"/>
      <w:r w:rsidRPr="00270AFF">
        <w:rPr>
          <w:rFonts w:asciiTheme="minorHAnsi" w:eastAsiaTheme="majorEastAsia" w:hAnsiTheme="minorHAnsi" w:cstheme="majorBidi"/>
          <w:b/>
          <w:szCs w:val="24"/>
        </w:rPr>
        <w:t>Background</w:t>
      </w:r>
    </w:p>
    <w:p w14:paraId="5E26D504" w14:textId="04150459" w:rsidR="00270AFF" w:rsidRDefault="00270AFF" w:rsidP="00270AFF">
      <w:pPr>
        <w:spacing w:line="257" w:lineRule="auto"/>
        <w:ind w:left="426"/>
        <w:jc w:val="both"/>
        <w:rPr>
          <w:rFonts w:ascii="Calibri Light" w:eastAsia="Calibri" w:hAnsi="Calibri Light" w:cs="Times New Roman"/>
        </w:rPr>
      </w:pPr>
      <w:r w:rsidRPr="00270AFF">
        <w:rPr>
          <w:rFonts w:ascii="Calibri Light" w:eastAsia="Calibri" w:hAnsi="Calibri Light" w:cs="Times New Roman"/>
        </w:rPr>
        <w:t>Warrington Borough Council bought Birchwood Park from Patrizia in September 2017. Birchwood Park is held in a trust with Warrington Borough Council as the sole shareholder. Patrizia have been retained as Asset Manager for the site. In 2016, Patrizia developed phase 1 of the Quadrant scheme, comprising three industrial units 711 (13,911 sq ft), 713 (21,750 sq ft) and 720 (37,500 sq ft) Cavendish Avenue, all of which let within one year of practical completion.</w:t>
      </w:r>
    </w:p>
    <w:p w14:paraId="7AFDF717" w14:textId="49DD25AB" w:rsidR="00270AFF" w:rsidRPr="00270AFF" w:rsidRDefault="008122E7" w:rsidP="00270AFF">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Pr>
          <w:rFonts w:asciiTheme="minorHAnsi" w:eastAsiaTheme="majorEastAsia" w:hAnsiTheme="minorHAnsi" w:cstheme="majorBidi"/>
          <w:b/>
          <w:szCs w:val="24"/>
        </w:rPr>
        <w:t>Scheme p</w:t>
      </w:r>
      <w:r w:rsidR="00270AFF" w:rsidRPr="00270AFF">
        <w:rPr>
          <w:rFonts w:asciiTheme="minorHAnsi" w:eastAsiaTheme="majorEastAsia" w:hAnsiTheme="minorHAnsi" w:cstheme="majorBidi"/>
          <w:b/>
          <w:szCs w:val="24"/>
        </w:rPr>
        <w:t>roposal</w:t>
      </w:r>
    </w:p>
    <w:p w14:paraId="38CCCFAA" w14:textId="562D137F" w:rsidR="00270AFF" w:rsidRPr="00270AFF" w:rsidRDefault="00270AFF" w:rsidP="00490E88">
      <w:pPr>
        <w:spacing w:after="0" w:line="257" w:lineRule="auto"/>
        <w:ind w:left="425"/>
        <w:jc w:val="both"/>
        <w:rPr>
          <w:rFonts w:ascii="Calibri Light" w:eastAsia="Calibri" w:hAnsi="Calibri Light" w:cs="Times New Roman"/>
        </w:rPr>
      </w:pPr>
      <w:r w:rsidRPr="00270AFF">
        <w:rPr>
          <w:rFonts w:ascii="Calibri Light" w:eastAsia="Calibri" w:hAnsi="Calibri Light" w:cs="Times New Roman"/>
        </w:rPr>
        <w:t>Patrizia is proposing to develop a phase 2 scheme of five industrial units totalling 15,773 sq m (169,785 sq ft). The development will comprise the following units:</w:t>
      </w:r>
    </w:p>
    <w:p w14:paraId="24476E52" w14:textId="77777777" w:rsidR="00270AFF" w:rsidRPr="00270AFF" w:rsidRDefault="00270AFF" w:rsidP="00270AFF">
      <w:pPr>
        <w:numPr>
          <w:ilvl w:val="0"/>
          <w:numId w:val="34"/>
        </w:numPr>
        <w:spacing w:line="257" w:lineRule="auto"/>
        <w:ind w:left="851" w:hanging="425"/>
        <w:contextualSpacing/>
        <w:jc w:val="both"/>
        <w:rPr>
          <w:rFonts w:ascii="Calibri Light" w:eastAsia="Calibri" w:hAnsi="Calibri Light" w:cs="Times New Roman"/>
        </w:rPr>
      </w:pPr>
      <w:r w:rsidRPr="00270AFF">
        <w:rPr>
          <w:rFonts w:ascii="Calibri Light" w:eastAsia="Calibri" w:hAnsi="Calibri Light" w:cs="Times New Roman"/>
        </w:rPr>
        <w:t>Unit 717 – 1,699 sq m (18,290 sq ft)</w:t>
      </w:r>
    </w:p>
    <w:p w14:paraId="63601727" w14:textId="77777777" w:rsidR="00270AFF" w:rsidRPr="00270AFF" w:rsidRDefault="00270AFF" w:rsidP="00270AFF">
      <w:pPr>
        <w:numPr>
          <w:ilvl w:val="0"/>
          <w:numId w:val="34"/>
        </w:numPr>
        <w:spacing w:line="257" w:lineRule="auto"/>
        <w:ind w:left="851" w:hanging="425"/>
        <w:contextualSpacing/>
        <w:jc w:val="both"/>
        <w:rPr>
          <w:rFonts w:ascii="Calibri Light" w:eastAsia="Calibri" w:hAnsi="Calibri Light" w:cs="Times New Roman"/>
        </w:rPr>
      </w:pPr>
      <w:r w:rsidRPr="00270AFF">
        <w:rPr>
          <w:rFonts w:ascii="Calibri Light" w:eastAsia="Calibri" w:hAnsi="Calibri Light" w:cs="Times New Roman"/>
        </w:rPr>
        <w:t>Unit 718 – 1,699 sq m (18,290 sq ft)</w:t>
      </w:r>
    </w:p>
    <w:p w14:paraId="78652B6D" w14:textId="77777777" w:rsidR="00270AFF" w:rsidRPr="00270AFF" w:rsidRDefault="00270AFF" w:rsidP="00270AFF">
      <w:pPr>
        <w:numPr>
          <w:ilvl w:val="0"/>
          <w:numId w:val="34"/>
        </w:numPr>
        <w:spacing w:line="257" w:lineRule="auto"/>
        <w:ind w:left="851" w:hanging="425"/>
        <w:contextualSpacing/>
        <w:jc w:val="both"/>
        <w:rPr>
          <w:rFonts w:ascii="Calibri Light" w:eastAsia="Calibri" w:hAnsi="Calibri Light" w:cs="Times New Roman"/>
        </w:rPr>
      </w:pPr>
      <w:r w:rsidRPr="00270AFF">
        <w:rPr>
          <w:rFonts w:ascii="Calibri Light" w:eastAsia="Calibri" w:hAnsi="Calibri Light" w:cs="Times New Roman"/>
        </w:rPr>
        <w:t>Unit 719 – 2,236 sq m (24,072 sq ft)</w:t>
      </w:r>
    </w:p>
    <w:p w14:paraId="5C3FE2E4" w14:textId="77777777" w:rsidR="00270AFF" w:rsidRPr="00270AFF" w:rsidRDefault="00270AFF" w:rsidP="00270AFF">
      <w:pPr>
        <w:numPr>
          <w:ilvl w:val="0"/>
          <w:numId w:val="34"/>
        </w:numPr>
        <w:spacing w:line="257" w:lineRule="auto"/>
        <w:ind w:left="851" w:hanging="425"/>
        <w:contextualSpacing/>
        <w:jc w:val="both"/>
        <w:rPr>
          <w:rFonts w:ascii="Calibri Light" w:eastAsia="Calibri" w:hAnsi="Calibri Light" w:cs="Times New Roman"/>
        </w:rPr>
      </w:pPr>
      <w:r w:rsidRPr="00270AFF">
        <w:rPr>
          <w:rFonts w:ascii="Calibri Light" w:eastAsia="Calibri" w:hAnsi="Calibri Light" w:cs="Times New Roman"/>
        </w:rPr>
        <w:t>Unit 720 – 5,467 sq m (58,850 sq ft)</w:t>
      </w:r>
    </w:p>
    <w:p w14:paraId="19F02D0E" w14:textId="77777777" w:rsidR="00270AFF" w:rsidRPr="00270AFF" w:rsidRDefault="00270AFF" w:rsidP="00270AFF">
      <w:pPr>
        <w:numPr>
          <w:ilvl w:val="0"/>
          <w:numId w:val="34"/>
        </w:numPr>
        <w:spacing w:line="257" w:lineRule="auto"/>
        <w:ind w:left="850" w:hanging="425"/>
        <w:jc w:val="both"/>
        <w:rPr>
          <w:rFonts w:ascii="Calibri Light" w:eastAsia="Calibri" w:hAnsi="Calibri Light" w:cs="Times New Roman"/>
        </w:rPr>
      </w:pPr>
      <w:r w:rsidRPr="00270AFF">
        <w:rPr>
          <w:rFonts w:ascii="Calibri Light" w:eastAsia="Calibri" w:hAnsi="Calibri Light" w:cs="Times New Roman"/>
        </w:rPr>
        <w:t>Unit 721 – 4,671 sq m (50,283 sq ft)</w:t>
      </w:r>
    </w:p>
    <w:p w14:paraId="5468EE43" w14:textId="77777777" w:rsidR="00270AFF" w:rsidRDefault="00270AFF" w:rsidP="00270AFF">
      <w:pPr>
        <w:spacing w:line="257" w:lineRule="auto"/>
        <w:ind w:left="426"/>
        <w:jc w:val="both"/>
        <w:rPr>
          <w:rFonts w:ascii="Calibri Light" w:eastAsia="Calibri" w:hAnsi="Calibri Light" w:cs="Times New Roman"/>
        </w:rPr>
        <w:sectPr w:rsidR="00270AFF" w:rsidSect="00C50A24">
          <w:headerReference w:type="default" r:id="rId8"/>
          <w:footerReference w:type="default" r:id="rId9"/>
          <w:pgSz w:w="11906" w:h="16838"/>
          <w:pgMar w:top="1440" w:right="1080" w:bottom="1440" w:left="1080" w:header="708" w:footer="708" w:gutter="0"/>
          <w:cols w:space="708"/>
          <w:docGrid w:linePitch="360"/>
        </w:sectPr>
      </w:pPr>
    </w:p>
    <w:p w14:paraId="0F08AF08" w14:textId="73BE9A64" w:rsidR="008122E7" w:rsidRDefault="008122E7" w:rsidP="00DA7BE4">
      <w:pPr>
        <w:numPr>
          <w:ilvl w:val="0"/>
          <w:numId w:val="23"/>
        </w:numPr>
        <w:spacing w:line="257" w:lineRule="auto"/>
        <w:ind w:left="426" w:hanging="426"/>
        <w:contextualSpacing/>
        <w:jc w:val="both"/>
        <w:rPr>
          <w:rFonts w:asciiTheme="minorHAnsi" w:eastAsia="Calibri" w:hAnsiTheme="minorHAnsi" w:cs="Times New Roman"/>
          <w:b/>
        </w:rPr>
      </w:pPr>
      <w:r>
        <w:rPr>
          <w:rFonts w:asciiTheme="minorHAnsi" w:eastAsia="Calibri" w:hAnsiTheme="minorHAnsi" w:cs="Times New Roman"/>
          <w:b/>
        </w:rPr>
        <w:lastRenderedPageBreak/>
        <w:t>Financial summary</w:t>
      </w:r>
    </w:p>
    <w:tbl>
      <w:tblPr>
        <w:tblStyle w:val="TableGrid"/>
        <w:tblW w:w="9355" w:type="dxa"/>
        <w:tblInd w:w="421" w:type="dxa"/>
        <w:tblLayout w:type="fixed"/>
        <w:tblLook w:val="04A0" w:firstRow="1" w:lastRow="0" w:firstColumn="1" w:lastColumn="0" w:noHBand="0" w:noVBand="1"/>
      </w:tblPr>
      <w:tblGrid>
        <w:gridCol w:w="2268"/>
        <w:gridCol w:w="7087"/>
      </w:tblGrid>
      <w:tr w:rsidR="00422D79" w:rsidRPr="00B479B2" w14:paraId="63A23BFC" w14:textId="77777777" w:rsidTr="00422D79">
        <w:tc>
          <w:tcPr>
            <w:tcW w:w="2268" w:type="dxa"/>
            <w:shd w:val="clear" w:color="auto" w:fill="000000" w:themeFill="text1"/>
            <w:vAlign w:val="center"/>
          </w:tcPr>
          <w:p w14:paraId="009D4286" w14:textId="77777777" w:rsidR="00422D79" w:rsidRPr="00B479B2" w:rsidRDefault="00422D79" w:rsidP="00E601CA">
            <w:pPr>
              <w:spacing w:before="60" w:after="40"/>
              <w:rPr>
                <w:rFonts w:asciiTheme="minorHAnsi" w:hAnsiTheme="minorHAnsi" w:cstheme="minorHAnsi"/>
                <w:b/>
                <w:sz w:val="18"/>
                <w:szCs w:val="18"/>
              </w:rPr>
            </w:pPr>
            <w:r w:rsidRPr="00B479B2">
              <w:rPr>
                <w:rFonts w:asciiTheme="minorHAnsi" w:hAnsiTheme="minorHAnsi" w:cstheme="minorHAnsi"/>
                <w:b/>
                <w:sz w:val="18"/>
                <w:szCs w:val="18"/>
              </w:rPr>
              <w:t>Project Item</w:t>
            </w:r>
          </w:p>
        </w:tc>
        <w:tc>
          <w:tcPr>
            <w:tcW w:w="7087" w:type="dxa"/>
            <w:shd w:val="clear" w:color="auto" w:fill="000000" w:themeFill="text1"/>
          </w:tcPr>
          <w:p w14:paraId="23D90CFF" w14:textId="1E8FBB6C" w:rsidR="00422D79" w:rsidRPr="00B479B2" w:rsidRDefault="00422D79" w:rsidP="00422D79">
            <w:pPr>
              <w:spacing w:before="60" w:after="40"/>
              <w:jc w:val="right"/>
              <w:rPr>
                <w:rFonts w:asciiTheme="minorHAnsi" w:hAnsiTheme="minorHAnsi" w:cstheme="minorHAnsi"/>
                <w:b/>
                <w:sz w:val="18"/>
                <w:szCs w:val="18"/>
              </w:rPr>
            </w:pPr>
            <w:r>
              <w:rPr>
                <w:rFonts w:asciiTheme="minorHAnsi" w:hAnsiTheme="minorHAnsi" w:cstheme="minorHAnsi"/>
                <w:b/>
                <w:sz w:val="18"/>
                <w:szCs w:val="18"/>
              </w:rPr>
              <w:t xml:space="preserve"> (£)</w:t>
            </w:r>
          </w:p>
        </w:tc>
      </w:tr>
      <w:tr w:rsidR="00422D79" w:rsidRPr="00B479B2" w14:paraId="4D0FCB5C" w14:textId="77777777" w:rsidTr="00422D79">
        <w:tc>
          <w:tcPr>
            <w:tcW w:w="2268" w:type="dxa"/>
            <w:shd w:val="clear" w:color="auto" w:fill="D9D9D9" w:themeFill="background1" w:themeFillShade="D9"/>
          </w:tcPr>
          <w:p w14:paraId="61E41959" w14:textId="77777777" w:rsidR="00422D79" w:rsidRPr="008E40B0" w:rsidRDefault="00422D79" w:rsidP="00E601CA">
            <w:pPr>
              <w:spacing w:before="60" w:after="40"/>
              <w:rPr>
                <w:rFonts w:asciiTheme="minorHAnsi" w:hAnsiTheme="minorHAnsi" w:cstheme="minorHAnsi"/>
                <w:b/>
                <w:sz w:val="20"/>
                <w:szCs w:val="20"/>
              </w:rPr>
            </w:pPr>
            <w:r w:rsidRPr="008E40B0">
              <w:rPr>
                <w:rFonts w:asciiTheme="minorHAnsi" w:hAnsiTheme="minorHAnsi" w:cstheme="minorHAnsi"/>
                <w:b/>
                <w:sz w:val="20"/>
                <w:szCs w:val="20"/>
              </w:rPr>
              <w:t>Costs</w:t>
            </w:r>
          </w:p>
        </w:tc>
        <w:tc>
          <w:tcPr>
            <w:tcW w:w="7087" w:type="dxa"/>
            <w:shd w:val="clear" w:color="auto" w:fill="D9D9D9" w:themeFill="background1" w:themeFillShade="D9"/>
          </w:tcPr>
          <w:p w14:paraId="4179ECB0" w14:textId="77777777" w:rsidR="00422D79" w:rsidRPr="008E40B0" w:rsidRDefault="00422D79" w:rsidP="00E601CA">
            <w:pPr>
              <w:spacing w:before="60" w:after="40"/>
              <w:rPr>
                <w:rFonts w:asciiTheme="minorHAnsi" w:hAnsiTheme="minorHAnsi" w:cstheme="minorHAnsi"/>
                <w:b/>
                <w:sz w:val="20"/>
                <w:szCs w:val="20"/>
              </w:rPr>
            </w:pPr>
          </w:p>
        </w:tc>
      </w:tr>
      <w:tr w:rsidR="00422D79" w:rsidRPr="00B479B2" w14:paraId="576A2B0B" w14:textId="77777777" w:rsidTr="00422D79">
        <w:tc>
          <w:tcPr>
            <w:tcW w:w="2268" w:type="dxa"/>
            <w:shd w:val="clear" w:color="auto" w:fill="auto"/>
          </w:tcPr>
          <w:p w14:paraId="71F95778" w14:textId="77777777" w:rsidR="00422D79" w:rsidRPr="008E40B0" w:rsidRDefault="00422D79" w:rsidP="00422D79">
            <w:pPr>
              <w:spacing w:before="60" w:after="40"/>
              <w:rPr>
                <w:rFonts w:cstheme="majorHAnsi"/>
                <w:bCs/>
                <w:sz w:val="20"/>
                <w:szCs w:val="20"/>
              </w:rPr>
            </w:pPr>
            <w:r w:rsidRPr="008E40B0">
              <w:rPr>
                <w:rFonts w:cstheme="majorHAnsi"/>
                <w:bCs/>
                <w:sz w:val="20"/>
                <w:szCs w:val="20"/>
              </w:rPr>
              <w:t>Construction Costs</w:t>
            </w:r>
          </w:p>
        </w:tc>
        <w:tc>
          <w:tcPr>
            <w:tcW w:w="7087" w:type="dxa"/>
            <w:shd w:val="clear" w:color="auto" w:fill="auto"/>
          </w:tcPr>
          <w:p w14:paraId="078F9A61" w14:textId="53CEE753" w:rsidR="00422D79" w:rsidRPr="008E40B0" w:rsidRDefault="00422D79" w:rsidP="00422D79">
            <w:pPr>
              <w:spacing w:before="60" w:after="40"/>
              <w:jc w:val="right"/>
              <w:rPr>
                <w:rFonts w:cstheme="majorHAnsi"/>
                <w:bCs/>
                <w:sz w:val="20"/>
                <w:szCs w:val="20"/>
              </w:rPr>
            </w:pPr>
            <w:r w:rsidRPr="008E40B0">
              <w:rPr>
                <w:rFonts w:cstheme="majorHAnsi"/>
                <w:bCs/>
                <w:sz w:val="20"/>
                <w:szCs w:val="20"/>
              </w:rPr>
              <w:t>13,883,961</w:t>
            </w:r>
          </w:p>
        </w:tc>
      </w:tr>
      <w:tr w:rsidR="00422D79" w:rsidRPr="00B479B2" w14:paraId="27D86CC8" w14:textId="77777777" w:rsidTr="00422D79">
        <w:tc>
          <w:tcPr>
            <w:tcW w:w="2268" w:type="dxa"/>
            <w:shd w:val="clear" w:color="auto" w:fill="auto"/>
          </w:tcPr>
          <w:p w14:paraId="1F021EEA" w14:textId="02DA139C" w:rsidR="00422D79" w:rsidRPr="008E40B0" w:rsidRDefault="00422D79" w:rsidP="00422D79">
            <w:pPr>
              <w:spacing w:before="60" w:after="40"/>
              <w:rPr>
                <w:rFonts w:cstheme="majorHAnsi"/>
                <w:bCs/>
                <w:sz w:val="20"/>
                <w:szCs w:val="20"/>
              </w:rPr>
            </w:pPr>
            <w:r w:rsidRPr="008E40B0">
              <w:rPr>
                <w:rFonts w:cstheme="majorHAnsi"/>
                <w:bCs/>
                <w:sz w:val="20"/>
                <w:szCs w:val="20"/>
              </w:rPr>
              <w:t>Professional Fees</w:t>
            </w:r>
          </w:p>
        </w:tc>
        <w:tc>
          <w:tcPr>
            <w:tcW w:w="7087" w:type="dxa"/>
            <w:shd w:val="clear" w:color="auto" w:fill="auto"/>
          </w:tcPr>
          <w:p w14:paraId="5D332AC9" w14:textId="189FC1AD" w:rsidR="00422D79" w:rsidRPr="008E40B0" w:rsidRDefault="00422D79" w:rsidP="00422D79">
            <w:pPr>
              <w:spacing w:before="60" w:after="40"/>
              <w:jc w:val="right"/>
              <w:rPr>
                <w:rFonts w:cstheme="majorHAnsi"/>
                <w:bCs/>
                <w:sz w:val="20"/>
                <w:szCs w:val="20"/>
              </w:rPr>
            </w:pPr>
            <w:r w:rsidRPr="008E40B0">
              <w:rPr>
                <w:rFonts w:cstheme="majorHAnsi"/>
                <w:bCs/>
                <w:sz w:val="20"/>
                <w:szCs w:val="20"/>
              </w:rPr>
              <w:t>1,634,865</w:t>
            </w:r>
          </w:p>
        </w:tc>
      </w:tr>
      <w:tr w:rsidR="00422D79" w:rsidRPr="00B479B2" w14:paraId="7E79D083" w14:textId="77777777" w:rsidTr="00422D79">
        <w:tc>
          <w:tcPr>
            <w:tcW w:w="2268" w:type="dxa"/>
            <w:shd w:val="clear" w:color="auto" w:fill="auto"/>
          </w:tcPr>
          <w:p w14:paraId="075BEF60" w14:textId="27A949A5" w:rsidR="00422D79" w:rsidRPr="008E40B0" w:rsidRDefault="00422D79" w:rsidP="00422D79">
            <w:pPr>
              <w:spacing w:before="60" w:after="40"/>
              <w:rPr>
                <w:rFonts w:cstheme="majorHAnsi"/>
                <w:bCs/>
                <w:sz w:val="20"/>
                <w:szCs w:val="20"/>
              </w:rPr>
            </w:pPr>
            <w:r w:rsidRPr="008E40B0">
              <w:rPr>
                <w:rFonts w:cstheme="majorHAnsi"/>
                <w:bCs/>
                <w:sz w:val="20"/>
                <w:szCs w:val="20"/>
              </w:rPr>
              <w:t>Finance Costs</w:t>
            </w:r>
          </w:p>
        </w:tc>
        <w:tc>
          <w:tcPr>
            <w:tcW w:w="7087" w:type="dxa"/>
            <w:shd w:val="clear" w:color="auto" w:fill="auto"/>
          </w:tcPr>
          <w:p w14:paraId="73D950B4" w14:textId="42A2212E" w:rsidR="00422D79" w:rsidRPr="008E40B0" w:rsidRDefault="00422D79" w:rsidP="00422D79">
            <w:pPr>
              <w:spacing w:before="60" w:after="40"/>
              <w:jc w:val="right"/>
              <w:rPr>
                <w:rFonts w:cstheme="majorHAnsi"/>
                <w:bCs/>
                <w:sz w:val="20"/>
                <w:szCs w:val="20"/>
              </w:rPr>
            </w:pPr>
            <w:r w:rsidRPr="008E40B0">
              <w:rPr>
                <w:rFonts w:cstheme="majorHAnsi"/>
                <w:bCs/>
                <w:sz w:val="20"/>
                <w:szCs w:val="20"/>
              </w:rPr>
              <w:t>1,406,152</w:t>
            </w:r>
          </w:p>
        </w:tc>
      </w:tr>
      <w:tr w:rsidR="00422D79" w:rsidRPr="00B479B2" w14:paraId="52071F83" w14:textId="77777777" w:rsidTr="00422D79">
        <w:tc>
          <w:tcPr>
            <w:tcW w:w="2268" w:type="dxa"/>
            <w:shd w:val="clear" w:color="auto" w:fill="auto"/>
          </w:tcPr>
          <w:p w14:paraId="34D1EC07" w14:textId="77777777" w:rsidR="00422D79" w:rsidRPr="008E40B0" w:rsidRDefault="00422D79" w:rsidP="00422D79">
            <w:pPr>
              <w:spacing w:before="60" w:after="40"/>
              <w:rPr>
                <w:rFonts w:cstheme="majorHAnsi"/>
                <w:bCs/>
                <w:sz w:val="20"/>
                <w:szCs w:val="20"/>
              </w:rPr>
            </w:pPr>
            <w:r w:rsidRPr="008E40B0">
              <w:rPr>
                <w:rFonts w:cstheme="majorHAnsi"/>
                <w:bCs/>
                <w:sz w:val="20"/>
                <w:szCs w:val="20"/>
              </w:rPr>
              <w:t>Developer’s Profit</w:t>
            </w:r>
          </w:p>
        </w:tc>
        <w:tc>
          <w:tcPr>
            <w:tcW w:w="7087" w:type="dxa"/>
            <w:shd w:val="clear" w:color="auto" w:fill="auto"/>
          </w:tcPr>
          <w:p w14:paraId="08B06BE3" w14:textId="14683483" w:rsidR="00422D79" w:rsidRPr="008E40B0" w:rsidRDefault="00422D79" w:rsidP="00422D79">
            <w:pPr>
              <w:spacing w:before="60" w:after="40"/>
              <w:jc w:val="right"/>
              <w:rPr>
                <w:rFonts w:cstheme="majorHAnsi"/>
                <w:bCs/>
                <w:sz w:val="20"/>
                <w:szCs w:val="20"/>
              </w:rPr>
            </w:pPr>
            <w:r w:rsidRPr="008E40B0">
              <w:rPr>
                <w:rFonts w:cstheme="majorHAnsi"/>
                <w:bCs/>
                <w:sz w:val="20"/>
                <w:szCs w:val="20"/>
              </w:rPr>
              <w:t>2,911,275</w:t>
            </w:r>
          </w:p>
        </w:tc>
      </w:tr>
      <w:tr w:rsidR="00422D79" w:rsidRPr="00B479B2" w14:paraId="5FADF9EF" w14:textId="77777777" w:rsidTr="00422D79">
        <w:tc>
          <w:tcPr>
            <w:tcW w:w="2268" w:type="dxa"/>
            <w:shd w:val="clear" w:color="auto" w:fill="auto"/>
          </w:tcPr>
          <w:p w14:paraId="7650D581" w14:textId="77777777" w:rsidR="00422D79" w:rsidRPr="008E40B0" w:rsidRDefault="00422D79" w:rsidP="00422D79">
            <w:pPr>
              <w:spacing w:before="60" w:after="40"/>
              <w:rPr>
                <w:rFonts w:asciiTheme="minorHAnsi" w:hAnsiTheme="minorHAnsi" w:cstheme="minorHAnsi"/>
                <w:b/>
                <w:sz w:val="20"/>
                <w:szCs w:val="20"/>
              </w:rPr>
            </w:pPr>
            <w:r w:rsidRPr="008E40B0">
              <w:rPr>
                <w:rFonts w:asciiTheme="minorHAnsi" w:hAnsiTheme="minorHAnsi" w:cstheme="minorHAnsi"/>
                <w:b/>
                <w:sz w:val="20"/>
                <w:szCs w:val="20"/>
              </w:rPr>
              <w:t>Total Costs</w:t>
            </w:r>
          </w:p>
        </w:tc>
        <w:tc>
          <w:tcPr>
            <w:tcW w:w="7087" w:type="dxa"/>
            <w:shd w:val="clear" w:color="auto" w:fill="auto"/>
          </w:tcPr>
          <w:p w14:paraId="3E9AADB7" w14:textId="2EB8F97B" w:rsidR="00422D79" w:rsidRPr="008E40B0" w:rsidRDefault="00422D79" w:rsidP="00422D79">
            <w:pPr>
              <w:spacing w:before="60" w:after="40"/>
              <w:jc w:val="right"/>
              <w:rPr>
                <w:rFonts w:asciiTheme="minorHAnsi" w:hAnsiTheme="minorHAnsi" w:cstheme="minorHAnsi"/>
                <w:b/>
                <w:sz w:val="20"/>
                <w:szCs w:val="20"/>
              </w:rPr>
            </w:pPr>
            <w:r w:rsidRPr="008E40B0">
              <w:rPr>
                <w:rFonts w:asciiTheme="minorHAnsi" w:hAnsiTheme="minorHAnsi" w:cstheme="minorHAnsi"/>
                <w:b/>
                <w:sz w:val="20"/>
                <w:szCs w:val="20"/>
              </w:rPr>
              <w:t>19,836,253</w:t>
            </w:r>
          </w:p>
        </w:tc>
      </w:tr>
      <w:tr w:rsidR="00422D79" w:rsidRPr="00B479B2" w14:paraId="1E67FCA9" w14:textId="77777777" w:rsidTr="00422D79">
        <w:tc>
          <w:tcPr>
            <w:tcW w:w="2268" w:type="dxa"/>
            <w:shd w:val="clear" w:color="auto" w:fill="E7E6E6" w:themeFill="background2"/>
          </w:tcPr>
          <w:p w14:paraId="305A286E" w14:textId="77777777" w:rsidR="00422D79" w:rsidRPr="008E40B0" w:rsidRDefault="00422D79" w:rsidP="00422D79">
            <w:pPr>
              <w:spacing w:before="60" w:after="40"/>
              <w:rPr>
                <w:rFonts w:asciiTheme="minorHAnsi" w:hAnsiTheme="minorHAnsi" w:cstheme="minorHAnsi"/>
                <w:b/>
                <w:sz w:val="20"/>
                <w:szCs w:val="20"/>
              </w:rPr>
            </w:pPr>
            <w:r w:rsidRPr="008E40B0">
              <w:rPr>
                <w:rFonts w:asciiTheme="minorHAnsi" w:hAnsiTheme="minorHAnsi" w:cstheme="minorHAnsi"/>
                <w:b/>
                <w:sz w:val="20"/>
                <w:szCs w:val="20"/>
              </w:rPr>
              <w:t>Revenue</w:t>
            </w:r>
          </w:p>
        </w:tc>
        <w:tc>
          <w:tcPr>
            <w:tcW w:w="7087" w:type="dxa"/>
            <w:shd w:val="clear" w:color="auto" w:fill="E7E6E6" w:themeFill="background2"/>
          </w:tcPr>
          <w:p w14:paraId="2DFC508F" w14:textId="77777777" w:rsidR="00422D79" w:rsidRPr="008E40B0" w:rsidRDefault="00422D79" w:rsidP="00422D79">
            <w:pPr>
              <w:spacing w:before="60" w:after="40"/>
              <w:jc w:val="right"/>
              <w:rPr>
                <w:rFonts w:asciiTheme="minorHAnsi" w:hAnsiTheme="minorHAnsi" w:cstheme="minorHAnsi"/>
                <w:bCs/>
                <w:sz w:val="20"/>
                <w:szCs w:val="20"/>
              </w:rPr>
            </w:pPr>
          </w:p>
        </w:tc>
      </w:tr>
      <w:tr w:rsidR="00422D79" w:rsidRPr="00B479B2" w14:paraId="262F2E4F" w14:textId="77777777" w:rsidTr="00422D79">
        <w:tc>
          <w:tcPr>
            <w:tcW w:w="2268" w:type="dxa"/>
            <w:shd w:val="clear" w:color="auto" w:fill="auto"/>
          </w:tcPr>
          <w:p w14:paraId="1654B172" w14:textId="77777777" w:rsidR="00422D79" w:rsidRPr="008E40B0" w:rsidRDefault="00422D79" w:rsidP="00422D79">
            <w:pPr>
              <w:spacing w:before="60" w:after="40"/>
              <w:rPr>
                <w:rFonts w:cstheme="majorHAnsi"/>
                <w:bCs/>
                <w:sz w:val="20"/>
                <w:szCs w:val="20"/>
              </w:rPr>
            </w:pPr>
            <w:r w:rsidRPr="008E40B0">
              <w:rPr>
                <w:rFonts w:cstheme="majorHAnsi"/>
                <w:bCs/>
                <w:sz w:val="20"/>
                <w:szCs w:val="20"/>
              </w:rPr>
              <w:t>Net Development Value</w:t>
            </w:r>
          </w:p>
        </w:tc>
        <w:tc>
          <w:tcPr>
            <w:tcW w:w="7087" w:type="dxa"/>
            <w:shd w:val="clear" w:color="auto" w:fill="auto"/>
          </w:tcPr>
          <w:p w14:paraId="7E44445A" w14:textId="53014623" w:rsidR="00422D79" w:rsidRPr="008E40B0" w:rsidRDefault="00422D79" w:rsidP="00422D79">
            <w:pPr>
              <w:spacing w:before="60" w:after="40"/>
              <w:jc w:val="right"/>
              <w:rPr>
                <w:rFonts w:asciiTheme="minorHAnsi" w:hAnsiTheme="minorHAnsi" w:cstheme="minorHAnsi"/>
                <w:b/>
                <w:sz w:val="20"/>
                <w:szCs w:val="20"/>
              </w:rPr>
            </w:pPr>
            <w:r w:rsidRPr="008E40B0">
              <w:rPr>
                <w:rFonts w:asciiTheme="minorHAnsi" w:hAnsiTheme="minorHAnsi" w:cstheme="minorHAnsi"/>
                <w:b/>
                <w:sz w:val="20"/>
                <w:szCs w:val="20"/>
              </w:rPr>
              <w:t>18,530,254</w:t>
            </w:r>
          </w:p>
        </w:tc>
      </w:tr>
      <w:tr w:rsidR="00422D79" w:rsidRPr="00B479B2" w14:paraId="7F07BF6B" w14:textId="77777777" w:rsidTr="00422D79">
        <w:tc>
          <w:tcPr>
            <w:tcW w:w="2268" w:type="dxa"/>
            <w:shd w:val="clear" w:color="auto" w:fill="D9D9D9" w:themeFill="background1" w:themeFillShade="D9"/>
          </w:tcPr>
          <w:p w14:paraId="7B105347" w14:textId="77777777" w:rsidR="00422D79" w:rsidRPr="008E40B0" w:rsidRDefault="00422D79" w:rsidP="00422D79">
            <w:pPr>
              <w:spacing w:before="60" w:after="40"/>
              <w:rPr>
                <w:rFonts w:asciiTheme="minorHAnsi" w:hAnsiTheme="minorHAnsi" w:cstheme="minorHAnsi"/>
                <w:b/>
                <w:sz w:val="20"/>
                <w:szCs w:val="20"/>
              </w:rPr>
            </w:pPr>
            <w:r w:rsidRPr="008E40B0">
              <w:rPr>
                <w:rFonts w:asciiTheme="minorHAnsi" w:hAnsiTheme="minorHAnsi" w:cstheme="minorHAnsi"/>
                <w:b/>
                <w:sz w:val="20"/>
                <w:szCs w:val="20"/>
              </w:rPr>
              <w:t>Surplus/Gap</w:t>
            </w:r>
          </w:p>
        </w:tc>
        <w:tc>
          <w:tcPr>
            <w:tcW w:w="7087" w:type="dxa"/>
            <w:shd w:val="clear" w:color="auto" w:fill="D9D9D9" w:themeFill="background1" w:themeFillShade="D9"/>
          </w:tcPr>
          <w:p w14:paraId="0FAEA367" w14:textId="77777777" w:rsidR="00422D79" w:rsidRPr="008E40B0" w:rsidRDefault="00422D79" w:rsidP="00422D79">
            <w:pPr>
              <w:spacing w:before="60" w:after="40"/>
              <w:jc w:val="right"/>
              <w:rPr>
                <w:rFonts w:asciiTheme="minorHAnsi" w:hAnsiTheme="minorHAnsi" w:cstheme="minorHAnsi"/>
                <w:bCs/>
                <w:sz w:val="20"/>
                <w:szCs w:val="20"/>
              </w:rPr>
            </w:pPr>
          </w:p>
        </w:tc>
      </w:tr>
      <w:tr w:rsidR="00422D79" w:rsidRPr="00B479B2" w14:paraId="5D705D35" w14:textId="77777777" w:rsidTr="00422D79">
        <w:tc>
          <w:tcPr>
            <w:tcW w:w="2268" w:type="dxa"/>
            <w:shd w:val="clear" w:color="auto" w:fill="auto"/>
          </w:tcPr>
          <w:p w14:paraId="67476002" w14:textId="77777777" w:rsidR="00422D79" w:rsidRPr="008E40B0" w:rsidRDefault="00422D79" w:rsidP="00422D79">
            <w:pPr>
              <w:spacing w:before="60" w:after="40"/>
              <w:rPr>
                <w:rFonts w:asciiTheme="minorHAnsi" w:hAnsiTheme="minorHAnsi" w:cstheme="minorHAnsi"/>
                <w:b/>
                <w:sz w:val="20"/>
                <w:szCs w:val="20"/>
              </w:rPr>
            </w:pPr>
            <w:r w:rsidRPr="008E40B0">
              <w:rPr>
                <w:rFonts w:asciiTheme="minorHAnsi" w:hAnsiTheme="minorHAnsi" w:cstheme="minorHAnsi"/>
                <w:b/>
                <w:sz w:val="20"/>
                <w:szCs w:val="20"/>
              </w:rPr>
              <w:t>Gap</w:t>
            </w:r>
          </w:p>
        </w:tc>
        <w:tc>
          <w:tcPr>
            <w:tcW w:w="7087" w:type="dxa"/>
          </w:tcPr>
          <w:p w14:paraId="4E9C9623" w14:textId="58CBDC7D" w:rsidR="00422D79" w:rsidRPr="008E40B0" w:rsidRDefault="00422D79" w:rsidP="00422D79">
            <w:pPr>
              <w:spacing w:before="60" w:after="40"/>
              <w:jc w:val="right"/>
              <w:rPr>
                <w:rFonts w:asciiTheme="minorHAnsi" w:hAnsiTheme="minorHAnsi" w:cstheme="minorHAnsi"/>
                <w:b/>
                <w:sz w:val="20"/>
                <w:szCs w:val="20"/>
              </w:rPr>
            </w:pPr>
            <w:r w:rsidRPr="008E40B0">
              <w:rPr>
                <w:rFonts w:asciiTheme="minorHAnsi" w:hAnsiTheme="minorHAnsi" w:cstheme="minorHAnsi"/>
                <w:b/>
                <w:sz w:val="20"/>
                <w:szCs w:val="20"/>
              </w:rPr>
              <w:t>-1,305,999</w:t>
            </w:r>
          </w:p>
        </w:tc>
      </w:tr>
    </w:tbl>
    <w:p w14:paraId="7235F486" w14:textId="699F1488" w:rsidR="008122E7" w:rsidRDefault="008122E7" w:rsidP="008122E7">
      <w:pPr>
        <w:spacing w:line="257" w:lineRule="auto"/>
        <w:ind w:left="426"/>
        <w:contextualSpacing/>
        <w:jc w:val="both"/>
        <w:rPr>
          <w:rFonts w:asciiTheme="minorHAnsi" w:eastAsia="Calibri" w:hAnsiTheme="minorHAnsi" w:cs="Times New Roman"/>
          <w:b/>
        </w:rPr>
      </w:pPr>
    </w:p>
    <w:p w14:paraId="11E29648" w14:textId="4755D3B6" w:rsidR="00422D79" w:rsidRDefault="00422D79" w:rsidP="00422D79">
      <w:pPr>
        <w:spacing w:line="257" w:lineRule="auto"/>
        <w:ind w:left="426"/>
        <w:jc w:val="both"/>
        <w:rPr>
          <w:rFonts w:ascii="Calibri Light" w:eastAsia="Calibri" w:hAnsi="Calibri Light" w:cs="Times New Roman"/>
        </w:rPr>
      </w:pPr>
      <w:r>
        <w:rPr>
          <w:rFonts w:ascii="Calibri Light" w:eastAsia="Calibri" w:hAnsi="Calibri Light" w:cs="Times New Roman"/>
        </w:rPr>
        <w:t xml:space="preserve">The table above sets out the financial summary of the project as set out in the business case, which shows a gap of </w:t>
      </w:r>
      <w:r w:rsidRPr="0055696F">
        <w:rPr>
          <w:rFonts w:asciiTheme="minorHAnsi" w:eastAsia="Calibri" w:hAnsiTheme="minorHAnsi" w:cstheme="minorHAnsi"/>
          <w:b/>
          <w:bCs/>
          <w:u w:val="single"/>
        </w:rPr>
        <w:t>£1,306,000</w:t>
      </w:r>
      <w:r>
        <w:rPr>
          <w:rFonts w:ascii="Calibri Light" w:eastAsia="Calibri" w:hAnsi="Calibri Light" w:cs="Times New Roman"/>
        </w:rPr>
        <w:t xml:space="preserve">. </w:t>
      </w:r>
    </w:p>
    <w:p w14:paraId="7579FAC4" w14:textId="461F58DF" w:rsidR="00422D79" w:rsidRPr="005E1AC8" w:rsidRDefault="00422D79" w:rsidP="00422D79">
      <w:pPr>
        <w:spacing w:line="257" w:lineRule="auto"/>
        <w:ind w:left="426"/>
        <w:jc w:val="both"/>
        <w:rPr>
          <w:rFonts w:ascii="Calibri Light" w:eastAsia="Calibri" w:hAnsi="Calibri Light" w:cs="Times New Roman"/>
        </w:rPr>
      </w:pPr>
      <w:r w:rsidRPr="005E1AC8">
        <w:rPr>
          <w:rFonts w:ascii="Calibri Light" w:eastAsia="Calibri" w:hAnsi="Calibri Light" w:cs="Times New Roman"/>
        </w:rPr>
        <w:t xml:space="preserve">The </w:t>
      </w:r>
      <w:r w:rsidR="0055696F">
        <w:rPr>
          <w:rFonts w:ascii="Calibri Light" w:eastAsia="Calibri" w:hAnsi="Calibri Light" w:cs="Times New Roman"/>
        </w:rPr>
        <w:t>EZ contribution is made up of</w:t>
      </w:r>
      <w:r w:rsidRPr="005E1AC8">
        <w:rPr>
          <w:rFonts w:ascii="Calibri Light" w:eastAsia="Calibri" w:hAnsi="Calibri Light" w:cs="Times New Roman"/>
        </w:rPr>
        <w:t xml:space="preserve"> three broad elements:</w:t>
      </w:r>
    </w:p>
    <w:p w14:paraId="63963201" w14:textId="77777777" w:rsidR="00422D79" w:rsidRPr="004C0486" w:rsidRDefault="00422D79" w:rsidP="00422D79">
      <w:pPr>
        <w:pStyle w:val="ListParagraph"/>
        <w:numPr>
          <w:ilvl w:val="0"/>
          <w:numId w:val="43"/>
        </w:numPr>
        <w:spacing w:line="257" w:lineRule="auto"/>
        <w:ind w:left="992" w:hanging="567"/>
        <w:contextualSpacing w:val="0"/>
        <w:jc w:val="both"/>
        <w:rPr>
          <w:rFonts w:ascii="Calibri Light" w:eastAsia="Calibri" w:hAnsi="Calibri Light" w:cs="Times New Roman"/>
        </w:rPr>
      </w:pPr>
      <w:r w:rsidRPr="004C0486">
        <w:rPr>
          <w:rFonts w:asciiTheme="minorHAnsi" w:eastAsia="Calibri" w:hAnsiTheme="minorHAnsi" w:cstheme="minorHAnsi"/>
          <w:b/>
          <w:bCs/>
        </w:rPr>
        <w:t>Access road infrastructure</w:t>
      </w:r>
      <w:r w:rsidRPr="004C0486">
        <w:rPr>
          <w:rFonts w:ascii="Calibri Light" w:eastAsia="Calibri" w:hAnsi="Calibri Light" w:cs="Times New Roman"/>
        </w:rPr>
        <w:t xml:space="preserve"> – a contribution of £650,000 towards the costs of providing an access road into the site, which are considered abnormal infrastructure costs </w:t>
      </w:r>
      <w:r>
        <w:rPr>
          <w:rFonts w:ascii="Calibri Light" w:eastAsia="Calibri" w:hAnsi="Calibri Light" w:cs="Times New Roman"/>
        </w:rPr>
        <w:t>that</w:t>
      </w:r>
      <w:r w:rsidRPr="004C0486">
        <w:rPr>
          <w:rFonts w:ascii="Calibri Light" w:eastAsia="Calibri" w:hAnsi="Calibri Light" w:cs="Times New Roman"/>
        </w:rPr>
        <w:t xml:space="preserve"> are impacting on scheme viability.</w:t>
      </w:r>
    </w:p>
    <w:p w14:paraId="1409337F" w14:textId="570E4B9B" w:rsidR="00422D79" w:rsidRPr="004C0486" w:rsidRDefault="00422D79" w:rsidP="00422D79">
      <w:pPr>
        <w:pStyle w:val="ListParagraph"/>
        <w:numPr>
          <w:ilvl w:val="0"/>
          <w:numId w:val="43"/>
        </w:numPr>
        <w:spacing w:line="257" w:lineRule="auto"/>
        <w:ind w:left="992" w:hanging="567"/>
        <w:contextualSpacing w:val="0"/>
        <w:jc w:val="both"/>
        <w:rPr>
          <w:rFonts w:ascii="Calibri Light" w:eastAsia="Calibri" w:hAnsi="Calibri Light" w:cs="Times New Roman"/>
        </w:rPr>
      </w:pPr>
      <w:r w:rsidRPr="004C0486">
        <w:rPr>
          <w:rFonts w:asciiTheme="minorHAnsi" w:eastAsia="Calibri" w:hAnsiTheme="minorHAnsi" w:cstheme="minorHAnsi"/>
          <w:b/>
        </w:rPr>
        <w:t>Void and interest cover</w:t>
      </w:r>
      <w:r w:rsidRPr="004C0486">
        <w:rPr>
          <w:rFonts w:ascii="Calibri Light" w:eastAsia="Calibri" w:hAnsi="Calibri Light" w:cs="Times New Roman"/>
        </w:rPr>
        <w:t xml:space="preserve"> – cover for void costs (including service charges and void rates) and finance costs for up to a maximum of 3-years on a reducing basis as each unit is let, which reduces the risk for the developer/landowner in the event of a market slowdown</w:t>
      </w:r>
      <w:r w:rsidR="0055696F">
        <w:rPr>
          <w:rFonts w:ascii="Calibri Light" w:eastAsia="Calibri" w:hAnsi="Calibri Light" w:cs="Times New Roman"/>
        </w:rPr>
        <w:t xml:space="preserve"> and gives them the confidence to develop this scheme speculatively</w:t>
      </w:r>
      <w:r w:rsidRPr="004C0486">
        <w:rPr>
          <w:rFonts w:ascii="Calibri Light" w:eastAsia="Calibri" w:hAnsi="Calibri Light" w:cs="Times New Roman"/>
        </w:rPr>
        <w:t>.</w:t>
      </w:r>
    </w:p>
    <w:p w14:paraId="40094E87" w14:textId="41C4B827" w:rsidR="00422D79" w:rsidRPr="004C0486" w:rsidRDefault="00422D79" w:rsidP="00422D79">
      <w:pPr>
        <w:pStyle w:val="ListParagraph"/>
        <w:numPr>
          <w:ilvl w:val="0"/>
          <w:numId w:val="43"/>
        </w:numPr>
        <w:spacing w:line="257" w:lineRule="auto"/>
        <w:ind w:left="992" w:hanging="567"/>
        <w:contextualSpacing w:val="0"/>
        <w:jc w:val="both"/>
        <w:rPr>
          <w:rFonts w:ascii="Calibri Light" w:eastAsia="Calibri" w:hAnsi="Calibri Light" w:cs="Times New Roman"/>
        </w:rPr>
      </w:pPr>
      <w:r w:rsidRPr="004C0486">
        <w:rPr>
          <w:rFonts w:asciiTheme="minorHAnsi" w:eastAsia="Calibri" w:hAnsiTheme="minorHAnsi" w:cstheme="minorHAnsi"/>
          <w:b/>
        </w:rPr>
        <w:t>Electricity infrastructure</w:t>
      </w:r>
      <w:r w:rsidRPr="004C0486">
        <w:rPr>
          <w:rFonts w:ascii="Calibri Light" w:eastAsia="Calibri" w:hAnsi="Calibri Light" w:cs="Times New Roman"/>
        </w:rPr>
        <w:t xml:space="preserve"> – a contribution </w:t>
      </w:r>
      <w:r w:rsidR="0055696F">
        <w:rPr>
          <w:rFonts w:ascii="Calibri Light" w:eastAsia="Calibri" w:hAnsi="Calibri Light" w:cs="Times New Roman"/>
        </w:rPr>
        <w:t xml:space="preserve">of </w:t>
      </w:r>
      <w:r w:rsidRPr="004C0486">
        <w:rPr>
          <w:rFonts w:ascii="Calibri Light" w:eastAsia="Calibri" w:hAnsi="Calibri Light" w:cs="Times New Roman"/>
        </w:rPr>
        <w:t xml:space="preserve">up to a maximum of £1m if required to cover reinforcement works to the local electrical infrastructure network to serve all development sites. This contribution will provide </w:t>
      </w:r>
      <w:proofErr w:type="gramStart"/>
      <w:r w:rsidRPr="004C0486">
        <w:rPr>
          <w:rFonts w:ascii="Calibri Light" w:eastAsia="Calibri" w:hAnsi="Calibri Light" w:cs="Times New Roman"/>
        </w:rPr>
        <w:t>sufficient</w:t>
      </w:r>
      <w:proofErr w:type="gramEnd"/>
      <w:r w:rsidRPr="004C0486">
        <w:rPr>
          <w:rFonts w:ascii="Calibri Light" w:eastAsia="Calibri" w:hAnsi="Calibri Light" w:cs="Times New Roman"/>
        </w:rPr>
        <w:t xml:space="preserve"> capital to enhance the network to enable additional capacity to be provided should this be required </w:t>
      </w:r>
      <w:r w:rsidR="0055696F">
        <w:rPr>
          <w:rFonts w:ascii="Calibri Light" w:eastAsia="Calibri" w:hAnsi="Calibri Light" w:cs="Times New Roman"/>
        </w:rPr>
        <w:t>by</w:t>
      </w:r>
      <w:r w:rsidRPr="004C0486">
        <w:rPr>
          <w:rFonts w:ascii="Calibri Light" w:eastAsia="Calibri" w:hAnsi="Calibri Light" w:cs="Times New Roman"/>
        </w:rPr>
        <w:t xml:space="preserve"> a prospective high energy </w:t>
      </w:r>
      <w:r w:rsidR="0055696F">
        <w:rPr>
          <w:rFonts w:ascii="Calibri Light" w:eastAsia="Calibri" w:hAnsi="Calibri Light" w:cs="Times New Roman"/>
        </w:rPr>
        <w:t>occupier</w:t>
      </w:r>
      <w:r w:rsidRPr="004C0486">
        <w:rPr>
          <w:rFonts w:ascii="Calibri Light" w:eastAsia="Calibri" w:hAnsi="Calibri Light" w:cs="Times New Roman"/>
        </w:rPr>
        <w:t xml:space="preserve">. </w:t>
      </w:r>
    </w:p>
    <w:p w14:paraId="40165E25" w14:textId="77777777" w:rsidR="00422D79" w:rsidRPr="00270AFF" w:rsidRDefault="00422D79" w:rsidP="00422D79">
      <w:pPr>
        <w:spacing w:line="257" w:lineRule="auto"/>
        <w:ind w:left="426"/>
        <w:jc w:val="both"/>
        <w:rPr>
          <w:rFonts w:ascii="Calibri Light" w:eastAsia="Calibri" w:hAnsi="Calibri Light" w:cs="Times New Roman"/>
        </w:rPr>
      </w:pPr>
      <w:r w:rsidRPr="00270AFF">
        <w:rPr>
          <w:rFonts w:ascii="Calibri Light" w:eastAsia="Calibri" w:hAnsi="Calibri Light" w:cs="Times New Roman"/>
        </w:rPr>
        <w:t xml:space="preserve">As such, the scale of the </w:t>
      </w:r>
      <w:r>
        <w:rPr>
          <w:rFonts w:ascii="Calibri Light" w:eastAsia="Calibri" w:hAnsi="Calibri Light" w:cs="Times New Roman"/>
        </w:rPr>
        <w:t xml:space="preserve">investment </w:t>
      </w:r>
      <w:r w:rsidRPr="00270AFF">
        <w:rPr>
          <w:rFonts w:ascii="Calibri Light" w:eastAsia="Calibri" w:hAnsi="Calibri Light" w:cs="Times New Roman"/>
        </w:rPr>
        <w:t xml:space="preserve">from </w:t>
      </w:r>
      <w:r>
        <w:rPr>
          <w:rFonts w:ascii="Calibri Light" w:eastAsia="Calibri" w:hAnsi="Calibri Light" w:cs="Times New Roman"/>
        </w:rPr>
        <w:t xml:space="preserve">the EZ into the Quadrant Phase 2 scheme is between a minimum of </w:t>
      </w:r>
      <w:r w:rsidRPr="008122E7">
        <w:rPr>
          <w:rFonts w:asciiTheme="minorHAnsi" w:eastAsia="Calibri" w:hAnsiTheme="minorHAnsi" w:cstheme="minorHAnsi"/>
          <w:b/>
          <w:bCs/>
          <w:u w:val="single"/>
        </w:rPr>
        <w:t>£650,000</w:t>
      </w:r>
      <w:r w:rsidRPr="00270AFF">
        <w:rPr>
          <w:rFonts w:ascii="Calibri Light" w:eastAsia="Calibri" w:hAnsi="Calibri Light" w:cs="Times New Roman"/>
        </w:rPr>
        <w:t xml:space="preserve"> </w:t>
      </w:r>
      <w:r>
        <w:rPr>
          <w:rFonts w:ascii="Calibri Light" w:eastAsia="Calibri" w:hAnsi="Calibri Light" w:cs="Times New Roman"/>
        </w:rPr>
        <w:t xml:space="preserve">and a maximum of </w:t>
      </w:r>
      <w:r w:rsidRPr="008122E7">
        <w:rPr>
          <w:rFonts w:asciiTheme="minorHAnsi" w:eastAsia="Calibri" w:hAnsiTheme="minorHAnsi" w:cstheme="minorHAnsi"/>
          <w:b/>
          <w:bCs/>
          <w:u w:val="single"/>
        </w:rPr>
        <w:t>£</w:t>
      </w:r>
      <w:r w:rsidRPr="008122E7">
        <w:rPr>
          <w:rFonts w:asciiTheme="minorHAnsi" w:hAnsiTheme="minorHAnsi" w:cstheme="minorHAnsi"/>
          <w:b/>
          <w:bCs/>
          <w:u w:val="single"/>
        </w:rPr>
        <w:t>3,618,000</w:t>
      </w:r>
      <w:r>
        <w:t xml:space="preserve"> </w:t>
      </w:r>
      <w:r w:rsidRPr="00270AFF">
        <w:rPr>
          <w:rFonts w:ascii="Calibri Light" w:eastAsia="Calibri" w:hAnsi="Calibri Light" w:cs="Times New Roman"/>
        </w:rPr>
        <w:t>dependent upon the pace of lettings on the new scheme and whether the electrical infrastructure works are required. The table below shows the estimated cost and payback period to the EZ depending on the scale of the ask.</w:t>
      </w:r>
    </w:p>
    <w:tbl>
      <w:tblPr>
        <w:tblStyle w:val="TableGrid1"/>
        <w:tblW w:w="9350" w:type="dxa"/>
        <w:tblInd w:w="426" w:type="dxa"/>
        <w:tblLook w:val="04A0" w:firstRow="1" w:lastRow="0" w:firstColumn="1" w:lastColumn="0" w:noHBand="0" w:noVBand="1"/>
      </w:tblPr>
      <w:tblGrid>
        <w:gridCol w:w="2165"/>
        <w:gridCol w:w="1796"/>
        <w:gridCol w:w="1796"/>
        <w:gridCol w:w="1796"/>
        <w:gridCol w:w="1797"/>
      </w:tblGrid>
      <w:tr w:rsidR="00422D79" w:rsidRPr="00270AFF" w14:paraId="7F3412EC" w14:textId="77777777" w:rsidTr="00E601CA">
        <w:tc>
          <w:tcPr>
            <w:tcW w:w="2165" w:type="dxa"/>
            <w:shd w:val="clear" w:color="auto" w:fill="000000" w:themeFill="text1"/>
          </w:tcPr>
          <w:p w14:paraId="352687C3" w14:textId="77777777" w:rsidR="00422D79" w:rsidRPr="00270AFF" w:rsidRDefault="00422D79" w:rsidP="00E601CA">
            <w:pPr>
              <w:jc w:val="both"/>
              <w:rPr>
                <w:rFonts w:asciiTheme="minorHAnsi" w:eastAsia="Calibri" w:hAnsiTheme="minorHAnsi" w:cstheme="minorHAnsi"/>
                <w:b/>
                <w:sz w:val="18"/>
                <w:szCs w:val="18"/>
              </w:rPr>
            </w:pPr>
            <w:r w:rsidRPr="00270AFF">
              <w:rPr>
                <w:rFonts w:asciiTheme="minorHAnsi" w:eastAsia="Calibri" w:hAnsiTheme="minorHAnsi" w:cstheme="minorHAnsi"/>
                <w:b/>
                <w:sz w:val="18"/>
                <w:szCs w:val="18"/>
              </w:rPr>
              <w:t>Scheme Element</w:t>
            </w:r>
          </w:p>
        </w:tc>
        <w:tc>
          <w:tcPr>
            <w:tcW w:w="1796" w:type="dxa"/>
            <w:shd w:val="clear" w:color="auto" w:fill="000000" w:themeFill="text1"/>
          </w:tcPr>
          <w:p w14:paraId="223300E9" w14:textId="77777777" w:rsidR="00422D79" w:rsidRPr="00270AFF" w:rsidRDefault="00422D79" w:rsidP="00E601CA">
            <w:pPr>
              <w:jc w:val="center"/>
              <w:rPr>
                <w:rFonts w:asciiTheme="minorHAnsi" w:eastAsia="Calibri" w:hAnsiTheme="minorHAnsi" w:cstheme="minorHAnsi"/>
                <w:b/>
                <w:sz w:val="18"/>
                <w:szCs w:val="18"/>
              </w:rPr>
            </w:pPr>
            <w:r w:rsidRPr="00270AFF">
              <w:rPr>
                <w:rFonts w:asciiTheme="minorHAnsi" w:eastAsia="Calibri" w:hAnsiTheme="minorHAnsi" w:cstheme="minorHAnsi"/>
                <w:b/>
                <w:sz w:val="18"/>
                <w:szCs w:val="18"/>
              </w:rPr>
              <w:t xml:space="preserve">Best Case Scenario </w:t>
            </w:r>
          </w:p>
          <w:p w14:paraId="19B69F8C" w14:textId="77777777" w:rsidR="00422D79" w:rsidRPr="00270AFF" w:rsidRDefault="00422D79" w:rsidP="00E601CA">
            <w:pPr>
              <w:jc w:val="center"/>
              <w:rPr>
                <w:rFonts w:asciiTheme="minorHAnsi" w:eastAsia="Calibri" w:hAnsiTheme="minorHAnsi" w:cstheme="minorHAnsi"/>
                <w:b/>
                <w:sz w:val="18"/>
                <w:szCs w:val="18"/>
              </w:rPr>
            </w:pPr>
            <w:r w:rsidRPr="00270AFF">
              <w:rPr>
                <w:rFonts w:asciiTheme="minorHAnsi" w:eastAsia="Calibri" w:hAnsiTheme="minorHAnsi" w:cstheme="minorHAnsi"/>
                <w:b/>
                <w:sz w:val="18"/>
                <w:szCs w:val="18"/>
              </w:rPr>
              <w:t>(£)</w:t>
            </w:r>
          </w:p>
        </w:tc>
        <w:tc>
          <w:tcPr>
            <w:tcW w:w="1796" w:type="dxa"/>
            <w:shd w:val="clear" w:color="auto" w:fill="000000" w:themeFill="text1"/>
          </w:tcPr>
          <w:p w14:paraId="0E137A7B" w14:textId="77777777" w:rsidR="00422D79" w:rsidRPr="00270AFF" w:rsidRDefault="00422D79" w:rsidP="00E601CA">
            <w:pPr>
              <w:jc w:val="center"/>
              <w:rPr>
                <w:rFonts w:asciiTheme="minorHAnsi" w:eastAsia="Calibri" w:hAnsiTheme="minorHAnsi" w:cstheme="minorHAnsi"/>
                <w:b/>
                <w:sz w:val="18"/>
                <w:szCs w:val="18"/>
              </w:rPr>
            </w:pPr>
            <w:r>
              <w:rPr>
                <w:rFonts w:asciiTheme="minorHAnsi" w:eastAsia="Calibri" w:hAnsiTheme="minorHAnsi" w:cstheme="minorHAnsi"/>
                <w:b/>
                <w:sz w:val="18"/>
                <w:szCs w:val="18"/>
              </w:rPr>
              <w:t>Assumed Business Case*</w:t>
            </w:r>
            <w:r w:rsidRPr="00270AFF">
              <w:rPr>
                <w:rFonts w:asciiTheme="minorHAnsi" w:eastAsia="Calibri" w:hAnsiTheme="minorHAnsi" w:cstheme="minorHAnsi"/>
                <w:b/>
                <w:sz w:val="18"/>
                <w:szCs w:val="18"/>
              </w:rPr>
              <w:t xml:space="preserve"> Minus Electricity Infrastructure (£)</w:t>
            </w:r>
          </w:p>
        </w:tc>
        <w:tc>
          <w:tcPr>
            <w:tcW w:w="1796" w:type="dxa"/>
            <w:shd w:val="clear" w:color="auto" w:fill="000000" w:themeFill="text1"/>
          </w:tcPr>
          <w:p w14:paraId="1C4E7224" w14:textId="77777777" w:rsidR="00422D79" w:rsidRPr="00270AFF" w:rsidRDefault="00422D79" w:rsidP="00E601CA">
            <w:pPr>
              <w:jc w:val="center"/>
              <w:rPr>
                <w:rFonts w:asciiTheme="minorHAnsi" w:eastAsia="Calibri" w:hAnsiTheme="minorHAnsi" w:cstheme="minorHAnsi"/>
                <w:b/>
                <w:sz w:val="18"/>
                <w:szCs w:val="18"/>
              </w:rPr>
            </w:pPr>
            <w:r w:rsidRPr="00270AFF">
              <w:rPr>
                <w:rFonts w:asciiTheme="minorHAnsi" w:eastAsia="Calibri" w:hAnsiTheme="minorHAnsi" w:cstheme="minorHAnsi"/>
                <w:b/>
                <w:sz w:val="18"/>
                <w:szCs w:val="18"/>
              </w:rPr>
              <w:t>Assumed Business Case</w:t>
            </w:r>
            <w:r>
              <w:rPr>
                <w:rFonts w:asciiTheme="minorHAnsi" w:eastAsia="Calibri" w:hAnsiTheme="minorHAnsi" w:cstheme="minorHAnsi"/>
                <w:b/>
                <w:sz w:val="18"/>
                <w:szCs w:val="18"/>
              </w:rPr>
              <w:t>*</w:t>
            </w:r>
            <w:r w:rsidRPr="00270AFF">
              <w:rPr>
                <w:rFonts w:asciiTheme="minorHAnsi" w:eastAsia="Calibri" w:hAnsiTheme="minorHAnsi" w:cstheme="minorHAnsi"/>
                <w:b/>
                <w:sz w:val="18"/>
                <w:szCs w:val="18"/>
              </w:rPr>
              <w:t xml:space="preserve"> (£)</w:t>
            </w:r>
          </w:p>
        </w:tc>
        <w:tc>
          <w:tcPr>
            <w:tcW w:w="1797" w:type="dxa"/>
            <w:shd w:val="clear" w:color="auto" w:fill="000000" w:themeFill="text1"/>
          </w:tcPr>
          <w:p w14:paraId="087D7E10" w14:textId="77777777" w:rsidR="00422D79" w:rsidRPr="00270AFF" w:rsidRDefault="00422D79" w:rsidP="00E601CA">
            <w:pPr>
              <w:jc w:val="center"/>
              <w:rPr>
                <w:rFonts w:asciiTheme="minorHAnsi" w:eastAsia="Calibri" w:hAnsiTheme="minorHAnsi" w:cstheme="minorHAnsi"/>
                <w:b/>
                <w:sz w:val="18"/>
                <w:szCs w:val="18"/>
              </w:rPr>
            </w:pPr>
            <w:r w:rsidRPr="00270AFF">
              <w:rPr>
                <w:rFonts w:asciiTheme="minorHAnsi" w:eastAsia="Calibri" w:hAnsiTheme="minorHAnsi" w:cstheme="minorHAnsi"/>
                <w:b/>
                <w:sz w:val="18"/>
                <w:szCs w:val="18"/>
              </w:rPr>
              <w:t>Worst Case Scenario</w:t>
            </w:r>
            <w:r>
              <w:rPr>
                <w:rFonts w:asciiTheme="minorHAnsi" w:eastAsia="Calibri" w:hAnsiTheme="minorHAnsi" w:cstheme="minorHAnsi"/>
                <w:b/>
                <w:sz w:val="18"/>
                <w:szCs w:val="18"/>
              </w:rPr>
              <w:t>**</w:t>
            </w:r>
            <w:r w:rsidRPr="00270AFF">
              <w:rPr>
                <w:rFonts w:asciiTheme="minorHAnsi" w:eastAsia="Calibri" w:hAnsiTheme="minorHAnsi" w:cstheme="minorHAnsi"/>
                <w:b/>
                <w:sz w:val="18"/>
                <w:szCs w:val="18"/>
              </w:rPr>
              <w:t xml:space="preserve"> </w:t>
            </w:r>
          </w:p>
          <w:p w14:paraId="5159DB04" w14:textId="77777777" w:rsidR="00422D79" w:rsidRPr="00270AFF" w:rsidRDefault="00422D79" w:rsidP="00E601CA">
            <w:pPr>
              <w:jc w:val="center"/>
              <w:rPr>
                <w:rFonts w:asciiTheme="minorHAnsi" w:eastAsia="Calibri" w:hAnsiTheme="minorHAnsi" w:cstheme="minorHAnsi"/>
                <w:b/>
                <w:sz w:val="18"/>
                <w:szCs w:val="18"/>
              </w:rPr>
            </w:pPr>
            <w:r w:rsidRPr="00270AFF">
              <w:rPr>
                <w:rFonts w:asciiTheme="minorHAnsi" w:eastAsia="Calibri" w:hAnsiTheme="minorHAnsi" w:cstheme="minorHAnsi"/>
                <w:b/>
                <w:sz w:val="18"/>
                <w:szCs w:val="18"/>
              </w:rPr>
              <w:t>(£)</w:t>
            </w:r>
          </w:p>
        </w:tc>
      </w:tr>
      <w:tr w:rsidR="00422D79" w:rsidRPr="00270AFF" w14:paraId="0AB9D3DD" w14:textId="77777777" w:rsidTr="00E601CA">
        <w:tc>
          <w:tcPr>
            <w:tcW w:w="2165" w:type="dxa"/>
          </w:tcPr>
          <w:p w14:paraId="0BC6EC36" w14:textId="77777777" w:rsidR="00422D79" w:rsidRPr="00270AFF" w:rsidRDefault="00422D79" w:rsidP="00E601CA">
            <w:pPr>
              <w:jc w:val="both"/>
              <w:rPr>
                <w:rFonts w:ascii="Calibri Light" w:eastAsia="Calibri" w:hAnsi="Calibri Light" w:cs="Times New Roman"/>
                <w:sz w:val="18"/>
                <w:szCs w:val="18"/>
              </w:rPr>
            </w:pPr>
            <w:r w:rsidRPr="00270AFF">
              <w:rPr>
                <w:rFonts w:ascii="Calibri Light" w:eastAsia="Calibri" w:hAnsi="Calibri Light" w:cs="Times New Roman"/>
                <w:sz w:val="18"/>
                <w:szCs w:val="18"/>
              </w:rPr>
              <w:t>Road infrastructure</w:t>
            </w:r>
          </w:p>
        </w:tc>
        <w:tc>
          <w:tcPr>
            <w:tcW w:w="1796" w:type="dxa"/>
          </w:tcPr>
          <w:p w14:paraId="69608C7C"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650,000</w:t>
            </w:r>
          </w:p>
        </w:tc>
        <w:tc>
          <w:tcPr>
            <w:tcW w:w="1796" w:type="dxa"/>
          </w:tcPr>
          <w:p w14:paraId="37FA6C14"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650,000</w:t>
            </w:r>
          </w:p>
        </w:tc>
        <w:tc>
          <w:tcPr>
            <w:tcW w:w="1796" w:type="dxa"/>
          </w:tcPr>
          <w:p w14:paraId="1D111ED9"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650,000</w:t>
            </w:r>
          </w:p>
        </w:tc>
        <w:tc>
          <w:tcPr>
            <w:tcW w:w="1797" w:type="dxa"/>
          </w:tcPr>
          <w:p w14:paraId="34D92DAB"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650,000</w:t>
            </w:r>
          </w:p>
        </w:tc>
      </w:tr>
      <w:tr w:rsidR="00422D79" w:rsidRPr="00270AFF" w14:paraId="1A278420" w14:textId="77777777" w:rsidTr="00E601CA">
        <w:tc>
          <w:tcPr>
            <w:tcW w:w="2165" w:type="dxa"/>
          </w:tcPr>
          <w:p w14:paraId="1601777D" w14:textId="77777777" w:rsidR="00422D79" w:rsidRPr="00270AFF" w:rsidRDefault="00422D79" w:rsidP="00E601CA">
            <w:pPr>
              <w:jc w:val="both"/>
              <w:rPr>
                <w:rFonts w:ascii="Calibri Light" w:eastAsia="Calibri" w:hAnsi="Calibri Light" w:cs="Times New Roman"/>
                <w:sz w:val="18"/>
                <w:szCs w:val="18"/>
              </w:rPr>
            </w:pPr>
            <w:r w:rsidRPr="00270AFF">
              <w:rPr>
                <w:rFonts w:ascii="Calibri Light" w:eastAsia="Calibri" w:hAnsi="Calibri Light" w:cs="Times New Roman"/>
                <w:sz w:val="18"/>
                <w:szCs w:val="18"/>
              </w:rPr>
              <w:t xml:space="preserve">Void Cover </w:t>
            </w:r>
          </w:p>
        </w:tc>
        <w:tc>
          <w:tcPr>
            <w:tcW w:w="1796" w:type="dxa"/>
          </w:tcPr>
          <w:p w14:paraId="5151C4B6"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w:t>
            </w:r>
          </w:p>
        </w:tc>
        <w:tc>
          <w:tcPr>
            <w:tcW w:w="1796" w:type="dxa"/>
          </w:tcPr>
          <w:p w14:paraId="48F44CD6"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281,000</w:t>
            </w:r>
          </w:p>
        </w:tc>
        <w:tc>
          <w:tcPr>
            <w:tcW w:w="1796" w:type="dxa"/>
          </w:tcPr>
          <w:p w14:paraId="5F349BF6"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281,000</w:t>
            </w:r>
          </w:p>
        </w:tc>
        <w:tc>
          <w:tcPr>
            <w:tcW w:w="1797" w:type="dxa"/>
          </w:tcPr>
          <w:p w14:paraId="00500DA1" w14:textId="77777777" w:rsidR="00422D79" w:rsidRPr="00270AFF" w:rsidRDefault="00422D79" w:rsidP="00E601CA">
            <w:pPr>
              <w:jc w:val="right"/>
              <w:rPr>
                <w:rFonts w:ascii="Calibri Light" w:eastAsia="Calibri" w:hAnsi="Calibri Light" w:cs="Times New Roman"/>
                <w:sz w:val="18"/>
                <w:szCs w:val="18"/>
              </w:rPr>
            </w:pPr>
            <w:r>
              <w:rPr>
                <w:rFonts w:ascii="Calibri Light" w:eastAsia="Calibri" w:hAnsi="Calibri Light" w:cs="Times New Roman"/>
                <w:sz w:val="18"/>
                <w:szCs w:val="18"/>
              </w:rPr>
              <w:t>843,000</w:t>
            </w:r>
          </w:p>
        </w:tc>
      </w:tr>
      <w:tr w:rsidR="00422D79" w:rsidRPr="00270AFF" w14:paraId="08CD0EF1" w14:textId="77777777" w:rsidTr="00E601CA">
        <w:tc>
          <w:tcPr>
            <w:tcW w:w="2165" w:type="dxa"/>
          </w:tcPr>
          <w:p w14:paraId="790480A9" w14:textId="77777777" w:rsidR="00422D79" w:rsidRPr="00270AFF" w:rsidRDefault="00422D79" w:rsidP="00E601CA">
            <w:pPr>
              <w:jc w:val="both"/>
              <w:rPr>
                <w:rFonts w:ascii="Calibri Light" w:eastAsia="Calibri" w:hAnsi="Calibri Light" w:cs="Times New Roman"/>
                <w:sz w:val="18"/>
                <w:szCs w:val="18"/>
              </w:rPr>
            </w:pPr>
            <w:r w:rsidRPr="00270AFF">
              <w:rPr>
                <w:rFonts w:ascii="Calibri Light" w:eastAsia="Calibri" w:hAnsi="Calibri Light" w:cs="Times New Roman"/>
                <w:sz w:val="18"/>
                <w:szCs w:val="18"/>
              </w:rPr>
              <w:t xml:space="preserve">Interest Cover </w:t>
            </w:r>
          </w:p>
        </w:tc>
        <w:tc>
          <w:tcPr>
            <w:tcW w:w="1796" w:type="dxa"/>
          </w:tcPr>
          <w:p w14:paraId="3CC8D514"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w:t>
            </w:r>
          </w:p>
        </w:tc>
        <w:tc>
          <w:tcPr>
            <w:tcW w:w="1796" w:type="dxa"/>
          </w:tcPr>
          <w:p w14:paraId="7FA32BB7"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375,000</w:t>
            </w:r>
          </w:p>
        </w:tc>
        <w:tc>
          <w:tcPr>
            <w:tcW w:w="1796" w:type="dxa"/>
          </w:tcPr>
          <w:p w14:paraId="31D10850"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375,000</w:t>
            </w:r>
          </w:p>
        </w:tc>
        <w:tc>
          <w:tcPr>
            <w:tcW w:w="1797" w:type="dxa"/>
          </w:tcPr>
          <w:p w14:paraId="3B38B037"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1,</w:t>
            </w:r>
            <w:r>
              <w:rPr>
                <w:rFonts w:ascii="Calibri Light" w:eastAsia="Calibri" w:hAnsi="Calibri Light" w:cs="Times New Roman"/>
                <w:sz w:val="18"/>
                <w:szCs w:val="18"/>
              </w:rPr>
              <w:t>125,000</w:t>
            </w:r>
          </w:p>
        </w:tc>
      </w:tr>
      <w:tr w:rsidR="00422D79" w:rsidRPr="00270AFF" w14:paraId="21472452" w14:textId="77777777" w:rsidTr="00E601CA">
        <w:tc>
          <w:tcPr>
            <w:tcW w:w="2165" w:type="dxa"/>
          </w:tcPr>
          <w:p w14:paraId="3DC2E8AD" w14:textId="77777777" w:rsidR="00422D79" w:rsidRPr="00270AFF" w:rsidRDefault="00422D79" w:rsidP="00E601CA">
            <w:pPr>
              <w:jc w:val="both"/>
              <w:rPr>
                <w:rFonts w:ascii="Calibri Light" w:eastAsia="Calibri" w:hAnsi="Calibri Light" w:cs="Times New Roman"/>
                <w:sz w:val="18"/>
                <w:szCs w:val="18"/>
              </w:rPr>
            </w:pPr>
            <w:r w:rsidRPr="00270AFF">
              <w:rPr>
                <w:rFonts w:ascii="Calibri Light" w:eastAsia="Calibri" w:hAnsi="Calibri Light" w:cs="Times New Roman"/>
                <w:sz w:val="18"/>
                <w:szCs w:val="18"/>
              </w:rPr>
              <w:t xml:space="preserve">Electrical Infrastructure </w:t>
            </w:r>
          </w:p>
        </w:tc>
        <w:tc>
          <w:tcPr>
            <w:tcW w:w="1796" w:type="dxa"/>
          </w:tcPr>
          <w:p w14:paraId="7965065E"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w:t>
            </w:r>
          </w:p>
        </w:tc>
        <w:tc>
          <w:tcPr>
            <w:tcW w:w="1796" w:type="dxa"/>
          </w:tcPr>
          <w:p w14:paraId="33B235F7"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w:t>
            </w:r>
          </w:p>
        </w:tc>
        <w:tc>
          <w:tcPr>
            <w:tcW w:w="1796" w:type="dxa"/>
          </w:tcPr>
          <w:p w14:paraId="56CD1B46"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1,000,000</w:t>
            </w:r>
          </w:p>
        </w:tc>
        <w:tc>
          <w:tcPr>
            <w:tcW w:w="1797" w:type="dxa"/>
          </w:tcPr>
          <w:p w14:paraId="159C1E67" w14:textId="77777777" w:rsidR="00422D79" w:rsidRPr="00270AFF" w:rsidRDefault="00422D79" w:rsidP="00E601CA">
            <w:pPr>
              <w:jc w:val="right"/>
              <w:rPr>
                <w:rFonts w:ascii="Calibri Light" w:eastAsia="Calibri" w:hAnsi="Calibri Light" w:cs="Times New Roman"/>
                <w:sz w:val="18"/>
                <w:szCs w:val="18"/>
              </w:rPr>
            </w:pPr>
            <w:r w:rsidRPr="00270AFF">
              <w:rPr>
                <w:rFonts w:ascii="Calibri Light" w:eastAsia="Calibri" w:hAnsi="Calibri Light" w:cs="Times New Roman"/>
                <w:sz w:val="18"/>
                <w:szCs w:val="18"/>
              </w:rPr>
              <w:t>1,000,000</w:t>
            </w:r>
          </w:p>
        </w:tc>
      </w:tr>
      <w:tr w:rsidR="00422D79" w:rsidRPr="00270AFF" w14:paraId="35A0AF24" w14:textId="77777777" w:rsidTr="00E601CA">
        <w:tc>
          <w:tcPr>
            <w:tcW w:w="2165" w:type="dxa"/>
          </w:tcPr>
          <w:p w14:paraId="41491B88" w14:textId="77777777" w:rsidR="00422D79" w:rsidRPr="00270AFF" w:rsidRDefault="00422D79" w:rsidP="00E601CA">
            <w:pPr>
              <w:jc w:val="both"/>
              <w:rPr>
                <w:rFonts w:asciiTheme="minorHAnsi" w:eastAsia="Calibri" w:hAnsiTheme="minorHAnsi" w:cstheme="minorHAnsi"/>
                <w:b/>
                <w:sz w:val="18"/>
                <w:szCs w:val="18"/>
              </w:rPr>
            </w:pPr>
            <w:r w:rsidRPr="00270AFF">
              <w:rPr>
                <w:rFonts w:asciiTheme="minorHAnsi" w:eastAsia="Calibri" w:hAnsiTheme="minorHAnsi" w:cstheme="minorHAnsi"/>
                <w:b/>
                <w:sz w:val="18"/>
                <w:szCs w:val="18"/>
              </w:rPr>
              <w:t xml:space="preserve">Total </w:t>
            </w:r>
          </w:p>
        </w:tc>
        <w:tc>
          <w:tcPr>
            <w:tcW w:w="1796" w:type="dxa"/>
          </w:tcPr>
          <w:p w14:paraId="2CB1FDA9"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650,000</w:t>
            </w:r>
          </w:p>
        </w:tc>
        <w:tc>
          <w:tcPr>
            <w:tcW w:w="1796" w:type="dxa"/>
          </w:tcPr>
          <w:p w14:paraId="435CFA49"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1,306,000</w:t>
            </w:r>
          </w:p>
        </w:tc>
        <w:tc>
          <w:tcPr>
            <w:tcW w:w="1796" w:type="dxa"/>
          </w:tcPr>
          <w:p w14:paraId="60FA9DB5"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2,306,000</w:t>
            </w:r>
          </w:p>
        </w:tc>
        <w:tc>
          <w:tcPr>
            <w:tcW w:w="1797" w:type="dxa"/>
          </w:tcPr>
          <w:p w14:paraId="098104C5" w14:textId="77777777" w:rsidR="00422D79" w:rsidRPr="00270AFF" w:rsidRDefault="00422D79" w:rsidP="00E601CA">
            <w:pPr>
              <w:jc w:val="right"/>
              <w:rPr>
                <w:rFonts w:asciiTheme="minorHAnsi" w:eastAsia="Calibri" w:hAnsiTheme="minorHAnsi" w:cstheme="minorHAnsi"/>
                <w:b/>
                <w:sz w:val="18"/>
                <w:szCs w:val="18"/>
              </w:rPr>
            </w:pPr>
            <w:r>
              <w:rPr>
                <w:rFonts w:asciiTheme="minorHAnsi" w:eastAsia="Calibri" w:hAnsiTheme="minorHAnsi" w:cstheme="minorHAnsi"/>
                <w:b/>
                <w:sz w:val="18"/>
                <w:szCs w:val="18"/>
              </w:rPr>
              <w:t>3,618,000</w:t>
            </w:r>
          </w:p>
        </w:tc>
      </w:tr>
      <w:tr w:rsidR="00422D79" w:rsidRPr="00270AFF" w14:paraId="07AB9CBE" w14:textId="77777777" w:rsidTr="00E601CA">
        <w:tc>
          <w:tcPr>
            <w:tcW w:w="2165" w:type="dxa"/>
          </w:tcPr>
          <w:p w14:paraId="706BCD0B" w14:textId="77777777" w:rsidR="00422D79" w:rsidRPr="00270AFF" w:rsidRDefault="00422D79" w:rsidP="00E601CA">
            <w:pPr>
              <w:jc w:val="both"/>
              <w:rPr>
                <w:rFonts w:asciiTheme="minorHAnsi" w:eastAsia="Calibri" w:hAnsiTheme="minorHAnsi" w:cstheme="minorHAnsi"/>
                <w:b/>
                <w:sz w:val="18"/>
                <w:szCs w:val="18"/>
              </w:rPr>
            </w:pPr>
            <w:r w:rsidRPr="00270AFF">
              <w:rPr>
                <w:rFonts w:asciiTheme="minorHAnsi" w:eastAsia="Calibri" w:hAnsiTheme="minorHAnsi" w:cstheme="minorHAnsi"/>
                <w:b/>
                <w:sz w:val="18"/>
                <w:szCs w:val="18"/>
              </w:rPr>
              <w:t>Payback Period (years)</w:t>
            </w:r>
          </w:p>
        </w:tc>
        <w:tc>
          <w:tcPr>
            <w:tcW w:w="1796" w:type="dxa"/>
          </w:tcPr>
          <w:p w14:paraId="72A61E72"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1.5</w:t>
            </w:r>
          </w:p>
        </w:tc>
        <w:tc>
          <w:tcPr>
            <w:tcW w:w="1796" w:type="dxa"/>
          </w:tcPr>
          <w:p w14:paraId="69EAFA91"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2.9</w:t>
            </w:r>
          </w:p>
        </w:tc>
        <w:tc>
          <w:tcPr>
            <w:tcW w:w="1796" w:type="dxa"/>
          </w:tcPr>
          <w:p w14:paraId="769B6FF4" w14:textId="77777777" w:rsidR="00422D79" w:rsidRPr="00270AFF" w:rsidRDefault="00422D79" w:rsidP="00E601CA">
            <w:pPr>
              <w:jc w:val="right"/>
              <w:rPr>
                <w:rFonts w:asciiTheme="minorHAnsi" w:eastAsia="Calibri" w:hAnsiTheme="minorHAnsi" w:cstheme="minorHAnsi"/>
                <w:b/>
                <w:sz w:val="18"/>
                <w:szCs w:val="18"/>
              </w:rPr>
            </w:pPr>
            <w:r w:rsidRPr="00270AFF">
              <w:rPr>
                <w:rFonts w:asciiTheme="minorHAnsi" w:eastAsia="Calibri" w:hAnsiTheme="minorHAnsi" w:cstheme="minorHAnsi"/>
                <w:b/>
                <w:sz w:val="18"/>
                <w:szCs w:val="18"/>
              </w:rPr>
              <w:t>5.3</w:t>
            </w:r>
          </w:p>
        </w:tc>
        <w:tc>
          <w:tcPr>
            <w:tcW w:w="1797" w:type="dxa"/>
          </w:tcPr>
          <w:p w14:paraId="4422D754" w14:textId="77777777" w:rsidR="00422D79" w:rsidRPr="00270AFF" w:rsidRDefault="00422D79" w:rsidP="00E601CA">
            <w:pPr>
              <w:jc w:val="right"/>
              <w:rPr>
                <w:rFonts w:asciiTheme="minorHAnsi" w:eastAsia="Calibri" w:hAnsiTheme="minorHAnsi" w:cstheme="minorHAnsi"/>
                <w:b/>
                <w:sz w:val="18"/>
                <w:szCs w:val="18"/>
              </w:rPr>
            </w:pPr>
            <w:r>
              <w:rPr>
                <w:rFonts w:asciiTheme="minorHAnsi" w:eastAsia="Calibri" w:hAnsiTheme="minorHAnsi" w:cstheme="minorHAnsi"/>
                <w:b/>
                <w:sz w:val="18"/>
                <w:szCs w:val="18"/>
              </w:rPr>
              <w:t>8.3</w:t>
            </w:r>
          </w:p>
        </w:tc>
      </w:tr>
    </w:tbl>
    <w:p w14:paraId="5DA8D5BA" w14:textId="77777777" w:rsidR="00422D79" w:rsidRDefault="00422D79" w:rsidP="00422D79">
      <w:pPr>
        <w:spacing w:after="0" w:line="257" w:lineRule="auto"/>
        <w:ind w:left="425"/>
        <w:jc w:val="both"/>
        <w:rPr>
          <w:rFonts w:ascii="Calibri Light" w:eastAsia="Calibri" w:hAnsi="Calibri Light" w:cs="Times New Roman"/>
          <w:sz w:val="16"/>
          <w:szCs w:val="16"/>
        </w:rPr>
      </w:pPr>
      <w:r>
        <w:rPr>
          <w:rFonts w:ascii="Calibri Light" w:eastAsia="Calibri" w:hAnsi="Calibri Light" w:cs="Times New Roman"/>
          <w:sz w:val="16"/>
          <w:szCs w:val="16"/>
        </w:rPr>
        <w:t>* Assumes 1 year of void and interest cover as set out in the business case</w:t>
      </w:r>
    </w:p>
    <w:p w14:paraId="16E38C83" w14:textId="4C741C9A" w:rsidR="008122E7" w:rsidRDefault="00422D79" w:rsidP="008122E7">
      <w:pPr>
        <w:spacing w:line="257" w:lineRule="auto"/>
        <w:ind w:left="426"/>
        <w:jc w:val="both"/>
        <w:rPr>
          <w:rFonts w:asciiTheme="minorHAnsi" w:eastAsia="Calibri" w:hAnsiTheme="minorHAnsi" w:cs="Times New Roman"/>
          <w:b/>
        </w:rPr>
      </w:pPr>
      <w:r>
        <w:rPr>
          <w:rFonts w:ascii="Calibri Light" w:eastAsia="Calibri" w:hAnsi="Calibri Light" w:cs="Times New Roman"/>
          <w:sz w:val="16"/>
          <w:szCs w:val="16"/>
        </w:rPr>
        <w:t>**3-years void and interest cover agreed with the applicant as the maximum contribution from the EZ</w:t>
      </w:r>
    </w:p>
    <w:p w14:paraId="6033ED84" w14:textId="77777777" w:rsidR="0055696F" w:rsidRDefault="0055696F">
      <w:pPr>
        <w:rPr>
          <w:rFonts w:asciiTheme="minorHAnsi" w:eastAsia="Calibri" w:hAnsiTheme="minorHAnsi" w:cs="Times New Roman"/>
          <w:b/>
        </w:rPr>
      </w:pPr>
      <w:r>
        <w:rPr>
          <w:rFonts w:asciiTheme="minorHAnsi" w:eastAsia="Calibri" w:hAnsiTheme="minorHAnsi" w:cs="Times New Roman"/>
          <w:b/>
        </w:rPr>
        <w:br w:type="page"/>
      </w:r>
    </w:p>
    <w:p w14:paraId="3CCA6F1D" w14:textId="016A3B3F" w:rsidR="008122E7" w:rsidRDefault="008122E7" w:rsidP="00DA7BE4">
      <w:pPr>
        <w:numPr>
          <w:ilvl w:val="0"/>
          <w:numId w:val="23"/>
        </w:numPr>
        <w:spacing w:line="257" w:lineRule="auto"/>
        <w:ind w:left="426" w:hanging="426"/>
        <w:contextualSpacing/>
        <w:jc w:val="both"/>
        <w:rPr>
          <w:rFonts w:asciiTheme="minorHAnsi" w:eastAsia="Calibri" w:hAnsiTheme="minorHAnsi" w:cs="Times New Roman"/>
          <w:b/>
        </w:rPr>
      </w:pPr>
      <w:r>
        <w:rPr>
          <w:rFonts w:asciiTheme="minorHAnsi" w:eastAsia="Calibri" w:hAnsiTheme="minorHAnsi" w:cs="Times New Roman"/>
          <w:b/>
        </w:rPr>
        <w:lastRenderedPageBreak/>
        <w:t>Value for money</w:t>
      </w:r>
    </w:p>
    <w:p w14:paraId="636F9C34" w14:textId="456382E5" w:rsidR="0055696F" w:rsidRPr="00015809" w:rsidRDefault="00015809" w:rsidP="0055696F">
      <w:pPr>
        <w:spacing w:line="257" w:lineRule="auto"/>
        <w:ind w:left="426"/>
        <w:contextualSpacing/>
        <w:jc w:val="both"/>
        <w:rPr>
          <w:rFonts w:eastAsia="Calibri" w:cstheme="majorHAnsi"/>
          <w:bCs/>
        </w:rPr>
      </w:pPr>
      <w:r>
        <w:rPr>
          <w:rFonts w:eastAsia="Calibri" w:cstheme="majorHAnsi"/>
          <w:bCs/>
        </w:rPr>
        <w:t xml:space="preserve">The Quadrant Phase 2 project </w:t>
      </w:r>
      <w:r w:rsidRPr="00DF562A">
        <w:t>could generate c.£436k per annum in retained business rates</w:t>
      </w:r>
      <w:r>
        <w:t xml:space="preserve"> </w:t>
      </w:r>
      <w:r w:rsidRPr="00DF562A">
        <w:t>and potentially generating up to £9.1m in retained business rates over the lifetime of the EZ.</w:t>
      </w:r>
      <w:r>
        <w:t xml:space="preserve"> The investment could payback between 1.5 years to a maximum of 8.3 years against the </w:t>
      </w:r>
      <w:proofErr w:type="gramStart"/>
      <w:r>
        <w:t>worst case</w:t>
      </w:r>
      <w:proofErr w:type="gramEnd"/>
      <w:r>
        <w:t xml:space="preserve"> scenario. Negotiations </w:t>
      </w:r>
      <w:r w:rsidR="009127A0">
        <w:t xml:space="preserve">on the legal agreement </w:t>
      </w:r>
      <w:r>
        <w:t>with the applicant has reduced the ask for rental cover from 5 to 3 years and has incentivised the applicant to accept tenants at the stated rental level in their development appraisal</w:t>
      </w:r>
      <w:r w:rsidR="009127A0">
        <w:t>. Cushman &amp; Wakefield’s appraisal notes that t</w:t>
      </w:r>
      <w:r w:rsidRPr="00015809">
        <w:rPr>
          <w:rFonts w:eastAsia="Calibri" w:cstheme="majorHAnsi"/>
          <w:bCs/>
        </w:rPr>
        <w:t>he project demonstrate</w:t>
      </w:r>
      <w:r w:rsidR="009127A0">
        <w:rPr>
          <w:rFonts w:eastAsia="Calibri" w:cstheme="majorHAnsi"/>
          <w:bCs/>
        </w:rPr>
        <w:t>s</w:t>
      </w:r>
      <w:r w:rsidRPr="00015809">
        <w:rPr>
          <w:rFonts w:eastAsia="Calibri" w:cstheme="majorHAnsi"/>
          <w:bCs/>
        </w:rPr>
        <w:t xml:space="preserve"> good value for money on a cost per job basis relative to national benchmarks</w:t>
      </w:r>
      <w:r>
        <w:rPr>
          <w:rFonts w:eastAsia="Calibri" w:cstheme="majorHAnsi"/>
          <w:bCs/>
        </w:rPr>
        <w:t>.</w:t>
      </w:r>
    </w:p>
    <w:p w14:paraId="6F20CDCF" w14:textId="50BFCAA4" w:rsidR="008122E7" w:rsidRDefault="008122E7" w:rsidP="008122E7">
      <w:pPr>
        <w:spacing w:line="257" w:lineRule="auto"/>
        <w:ind w:left="426"/>
        <w:contextualSpacing/>
        <w:jc w:val="both"/>
        <w:rPr>
          <w:rFonts w:asciiTheme="minorHAnsi" w:eastAsia="Calibri" w:hAnsiTheme="minorHAnsi" w:cs="Times New Roman"/>
          <w:b/>
        </w:rPr>
      </w:pPr>
    </w:p>
    <w:p w14:paraId="43FB54F8" w14:textId="43FAFEAB" w:rsidR="00270AFF" w:rsidRPr="00270AFF" w:rsidRDefault="00270AFF" w:rsidP="00DA7BE4">
      <w:pPr>
        <w:numPr>
          <w:ilvl w:val="0"/>
          <w:numId w:val="23"/>
        </w:numPr>
        <w:spacing w:line="257" w:lineRule="auto"/>
        <w:ind w:left="426" w:hanging="426"/>
        <w:contextualSpacing/>
        <w:jc w:val="both"/>
        <w:rPr>
          <w:rFonts w:asciiTheme="minorHAnsi" w:eastAsia="Calibri" w:hAnsiTheme="minorHAnsi" w:cs="Times New Roman"/>
          <w:b/>
        </w:rPr>
      </w:pPr>
      <w:r w:rsidRPr="00270AFF">
        <w:rPr>
          <w:rFonts w:asciiTheme="minorHAnsi" w:eastAsia="Calibri" w:hAnsiTheme="minorHAnsi" w:cs="Times New Roman"/>
          <w:b/>
        </w:rPr>
        <w:t>Benefits</w:t>
      </w:r>
    </w:p>
    <w:p w14:paraId="1BF78CBB" w14:textId="77777777" w:rsidR="00270AFF" w:rsidRPr="00270AFF" w:rsidRDefault="00270AFF" w:rsidP="00270AFF">
      <w:pPr>
        <w:spacing w:line="257" w:lineRule="auto"/>
        <w:ind w:left="426"/>
        <w:jc w:val="both"/>
        <w:rPr>
          <w:rFonts w:ascii="Calibri Light" w:eastAsia="Calibri" w:hAnsi="Calibri Light" w:cs="Times New Roman"/>
        </w:rPr>
      </w:pPr>
      <w:r w:rsidRPr="00270AFF">
        <w:rPr>
          <w:rFonts w:ascii="Calibri Light" w:eastAsia="Calibri" w:hAnsi="Calibri Light" w:cs="Times New Roman"/>
        </w:rPr>
        <w:t>The benefits associated with the investment case are set out in the table below.</w:t>
      </w:r>
    </w:p>
    <w:tbl>
      <w:tblPr>
        <w:tblStyle w:val="TableGrid1"/>
        <w:tblW w:w="9350" w:type="dxa"/>
        <w:tblInd w:w="426" w:type="dxa"/>
        <w:tblLook w:val="04A0" w:firstRow="1" w:lastRow="0" w:firstColumn="1" w:lastColumn="0" w:noHBand="0" w:noVBand="1"/>
      </w:tblPr>
      <w:tblGrid>
        <w:gridCol w:w="5381"/>
        <w:gridCol w:w="3969"/>
      </w:tblGrid>
      <w:tr w:rsidR="00270AFF" w:rsidRPr="00270AFF" w14:paraId="5546A83F" w14:textId="77777777" w:rsidTr="00DA7BE4">
        <w:tc>
          <w:tcPr>
            <w:tcW w:w="5381" w:type="dxa"/>
            <w:shd w:val="clear" w:color="auto" w:fill="000000" w:themeFill="text1"/>
          </w:tcPr>
          <w:p w14:paraId="02DEA539" w14:textId="77777777" w:rsidR="00270AFF" w:rsidRPr="00270AFF" w:rsidRDefault="00270AFF" w:rsidP="00270AFF">
            <w:pPr>
              <w:jc w:val="both"/>
              <w:rPr>
                <w:rFonts w:asciiTheme="minorHAnsi" w:eastAsia="Calibri" w:hAnsiTheme="minorHAnsi" w:cstheme="minorHAnsi"/>
                <w:b/>
              </w:rPr>
            </w:pPr>
            <w:r w:rsidRPr="00270AFF">
              <w:rPr>
                <w:rFonts w:asciiTheme="minorHAnsi" w:eastAsia="Calibri" w:hAnsiTheme="minorHAnsi" w:cstheme="minorHAnsi"/>
                <w:b/>
              </w:rPr>
              <w:t>Benefit</w:t>
            </w:r>
          </w:p>
        </w:tc>
        <w:tc>
          <w:tcPr>
            <w:tcW w:w="3969" w:type="dxa"/>
            <w:shd w:val="clear" w:color="auto" w:fill="000000" w:themeFill="text1"/>
          </w:tcPr>
          <w:p w14:paraId="32753388" w14:textId="77777777" w:rsidR="00270AFF" w:rsidRPr="00270AFF" w:rsidRDefault="00270AFF" w:rsidP="00270AFF">
            <w:pPr>
              <w:jc w:val="center"/>
              <w:rPr>
                <w:rFonts w:asciiTheme="minorHAnsi" w:eastAsia="Calibri" w:hAnsiTheme="minorHAnsi" w:cstheme="minorHAnsi"/>
                <w:b/>
              </w:rPr>
            </w:pPr>
            <w:r w:rsidRPr="00270AFF">
              <w:rPr>
                <w:rFonts w:asciiTheme="minorHAnsi" w:eastAsia="Calibri" w:hAnsiTheme="minorHAnsi" w:cstheme="minorHAnsi"/>
                <w:b/>
              </w:rPr>
              <w:t>Quantum</w:t>
            </w:r>
          </w:p>
        </w:tc>
      </w:tr>
      <w:tr w:rsidR="00270AFF" w:rsidRPr="00270AFF" w14:paraId="1C3D84E8" w14:textId="77777777" w:rsidTr="00DA7BE4">
        <w:tc>
          <w:tcPr>
            <w:tcW w:w="5381" w:type="dxa"/>
          </w:tcPr>
          <w:p w14:paraId="12B16071"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New commercial floorspace (sq ft)</w:t>
            </w:r>
          </w:p>
        </w:tc>
        <w:tc>
          <w:tcPr>
            <w:tcW w:w="3969" w:type="dxa"/>
          </w:tcPr>
          <w:p w14:paraId="39CD8394"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169,785</w:t>
            </w:r>
          </w:p>
        </w:tc>
      </w:tr>
      <w:tr w:rsidR="00270AFF" w:rsidRPr="00270AFF" w14:paraId="19CBF73B" w14:textId="77777777" w:rsidTr="00DA7BE4">
        <w:tc>
          <w:tcPr>
            <w:tcW w:w="5381" w:type="dxa"/>
          </w:tcPr>
          <w:p w14:paraId="7F207E56"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Brownfield land reclaimed (ha)</w:t>
            </w:r>
          </w:p>
        </w:tc>
        <w:tc>
          <w:tcPr>
            <w:tcW w:w="3969" w:type="dxa"/>
          </w:tcPr>
          <w:p w14:paraId="1C9BA314"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5.62</w:t>
            </w:r>
          </w:p>
        </w:tc>
      </w:tr>
      <w:tr w:rsidR="00270AFF" w:rsidRPr="00270AFF" w14:paraId="0707A0D0" w14:textId="77777777" w:rsidTr="00DA7BE4">
        <w:tc>
          <w:tcPr>
            <w:tcW w:w="5381" w:type="dxa"/>
          </w:tcPr>
          <w:p w14:paraId="40D8586B"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Number of new businesses attracted to the EZ</w:t>
            </w:r>
          </w:p>
        </w:tc>
        <w:tc>
          <w:tcPr>
            <w:tcW w:w="3969" w:type="dxa"/>
          </w:tcPr>
          <w:p w14:paraId="46C4CD5F"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5</w:t>
            </w:r>
          </w:p>
        </w:tc>
      </w:tr>
      <w:tr w:rsidR="00270AFF" w:rsidRPr="00270AFF" w14:paraId="40F4579A" w14:textId="77777777" w:rsidTr="00DA7BE4">
        <w:tc>
          <w:tcPr>
            <w:tcW w:w="5381" w:type="dxa"/>
          </w:tcPr>
          <w:p w14:paraId="4AB1033C"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Number of gross new permanent jobs created</w:t>
            </w:r>
          </w:p>
        </w:tc>
        <w:tc>
          <w:tcPr>
            <w:tcW w:w="3969" w:type="dxa"/>
          </w:tcPr>
          <w:p w14:paraId="03D5ED11"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480</w:t>
            </w:r>
          </w:p>
        </w:tc>
      </w:tr>
      <w:tr w:rsidR="00270AFF" w:rsidRPr="00270AFF" w14:paraId="37AE0C19" w14:textId="77777777" w:rsidTr="00DA7BE4">
        <w:tc>
          <w:tcPr>
            <w:tcW w:w="5381" w:type="dxa"/>
          </w:tcPr>
          <w:p w14:paraId="78D19226"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Number of net new permanent jobs created</w:t>
            </w:r>
          </w:p>
        </w:tc>
        <w:tc>
          <w:tcPr>
            <w:tcW w:w="3969" w:type="dxa"/>
          </w:tcPr>
          <w:p w14:paraId="1AE0A887"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223</w:t>
            </w:r>
          </w:p>
        </w:tc>
      </w:tr>
      <w:tr w:rsidR="00270AFF" w:rsidRPr="00270AFF" w14:paraId="76A42E97" w14:textId="77777777" w:rsidTr="00DA7BE4">
        <w:tc>
          <w:tcPr>
            <w:tcW w:w="5381" w:type="dxa"/>
          </w:tcPr>
          <w:p w14:paraId="2B12F8BE"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Number of temporary construction jobs created</w:t>
            </w:r>
          </w:p>
        </w:tc>
        <w:tc>
          <w:tcPr>
            <w:tcW w:w="3969" w:type="dxa"/>
          </w:tcPr>
          <w:p w14:paraId="11DD6CD0"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100</w:t>
            </w:r>
          </w:p>
        </w:tc>
      </w:tr>
      <w:tr w:rsidR="00270AFF" w:rsidRPr="00270AFF" w14:paraId="7A903796" w14:textId="77777777" w:rsidTr="00DA7BE4">
        <w:tc>
          <w:tcPr>
            <w:tcW w:w="5381" w:type="dxa"/>
          </w:tcPr>
          <w:p w14:paraId="139C5E8E"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Gross Value Added (£)</w:t>
            </w:r>
          </w:p>
        </w:tc>
        <w:tc>
          <w:tcPr>
            <w:tcW w:w="3969" w:type="dxa"/>
          </w:tcPr>
          <w:p w14:paraId="70E41F43" w14:textId="5D2F64A2"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7</w:t>
            </w:r>
            <w:r w:rsidR="000448D1">
              <w:rPr>
                <w:rFonts w:ascii="Calibri Light" w:eastAsia="Calibri" w:hAnsi="Calibri Light" w:cs="Times New Roman"/>
              </w:rPr>
              <w:t>.0</w:t>
            </w:r>
            <w:r w:rsidRPr="00270AFF">
              <w:rPr>
                <w:rFonts w:ascii="Calibri Light" w:eastAsia="Calibri" w:hAnsi="Calibri Light" w:cs="Times New Roman"/>
              </w:rPr>
              <w:t>m</w:t>
            </w:r>
          </w:p>
        </w:tc>
      </w:tr>
      <w:tr w:rsidR="00270AFF" w:rsidRPr="00270AFF" w14:paraId="7B5C3F8E" w14:textId="77777777" w:rsidTr="00DA7BE4">
        <w:tc>
          <w:tcPr>
            <w:tcW w:w="5381" w:type="dxa"/>
          </w:tcPr>
          <w:p w14:paraId="09B16537"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Annual Retained Business Rated (£)</w:t>
            </w:r>
          </w:p>
        </w:tc>
        <w:tc>
          <w:tcPr>
            <w:tcW w:w="3969" w:type="dxa"/>
          </w:tcPr>
          <w:p w14:paraId="75849BDC"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436,000</w:t>
            </w:r>
          </w:p>
        </w:tc>
      </w:tr>
      <w:tr w:rsidR="00270AFF" w:rsidRPr="00270AFF" w14:paraId="055FAE67" w14:textId="77777777" w:rsidTr="00DA7BE4">
        <w:tc>
          <w:tcPr>
            <w:tcW w:w="5381" w:type="dxa"/>
          </w:tcPr>
          <w:p w14:paraId="1CFF1583"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Total Retained Business Rates (£)</w:t>
            </w:r>
          </w:p>
        </w:tc>
        <w:tc>
          <w:tcPr>
            <w:tcW w:w="3969" w:type="dxa"/>
          </w:tcPr>
          <w:p w14:paraId="00E8FDDD"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9.1m</w:t>
            </w:r>
          </w:p>
        </w:tc>
      </w:tr>
      <w:tr w:rsidR="00270AFF" w:rsidRPr="00270AFF" w14:paraId="2F369622" w14:textId="77777777" w:rsidTr="00DA7BE4">
        <w:tc>
          <w:tcPr>
            <w:tcW w:w="5381" w:type="dxa"/>
          </w:tcPr>
          <w:p w14:paraId="42B251DA" w14:textId="77777777" w:rsidR="00270AFF" w:rsidRPr="00270AFF" w:rsidRDefault="00270AFF" w:rsidP="00270AFF">
            <w:pPr>
              <w:jc w:val="both"/>
              <w:rPr>
                <w:rFonts w:ascii="Calibri Light" w:eastAsia="Calibri" w:hAnsi="Calibri Light" w:cs="Times New Roman"/>
              </w:rPr>
            </w:pPr>
            <w:r w:rsidRPr="00270AFF">
              <w:rPr>
                <w:rFonts w:ascii="Calibri Light" w:eastAsia="Calibri" w:hAnsi="Calibri Light" w:cs="Times New Roman"/>
              </w:rPr>
              <w:t>Public/Private Sector Leverage (£)</w:t>
            </w:r>
          </w:p>
        </w:tc>
        <w:tc>
          <w:tcPr>
            <w:tcW w:w="3969" w:type="dxa"/>
          </w:tcPr>
          <w:p w14:paraId="4DFAF284" w14:textId="77777777" w:rsidR="00270AFF" w:rsidRPr="00270AFF" w:rsidRDefault="00270AFF" w:rsidP="00270AFF">
            <w:pPr>
              <w:jc w:val="right"/>
              <w:rPr>
                <w:rFonts w:ascii="Calibri Light" w:eastAsia="Calibri" w:hAnsi="Calibri Light" w:cs="Times New Roman"/>
              </w:rPr>
            </w:pPr>
            <w:r w:rsidRPr="00270AFF">
              <w:rPr>
                <w:rFonts w:ascii="Calibri Light" w:eastAsia="Calibri" w:hAnsi="Calibri Light" w:cs="Times New Roman"/>
              </w:rPr>
              <w:t>13.9m</w:t>
            </w:r>
          </w:p>
        </w:tc>
      </w:tr>
    </w:tbl>
    <w:p w14:paraId="6247432C" w14:textId="45DF5C92" w:rsidR="00270AFF" w:rsidRPr="00270AFF" w:rsidRDefault="00270AFF" w:rsidP="00DA7BE4">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sidRPr="00270AFF">
        <w:rPr>
          <w:rFonts w:asciiTheme="minorHAnsi" w:eastAsiaTheme="majorEastAsia" w:hAnsiTheme="minorHAnsi" w:cstheme="majorBidi"/>
          <w:b/>
          <w:szCs w:val="24"/>
        </w:rPr>
        <w:t>Risk</w:t>
      </w:r>
      <w:r w:rsidR="000448D1">
        <w:rPr>
          <w:rFonts w:asciiTheme="minorHAnsi" w:eastAsiaTheme="majorEastAsia" w:hAnsiTheme="minorHAnsi" w:cstheme="majorBidi"/>
          <w:b/>
          <w:szCs w:val="24"/>
        </w:rPr>
        <w:t xml:space="preserve"> analysis</w:t>
      </w:r>
    </w:p>
    <w:p w14:paraId="62E8CA8C" w14:textId="10DC97BB" w:rsidR="00270AFF" w:rsidRPr="00270AFF" w:rsidRDefault="00270AFF" w:rsidP="00270AFF">
      <w:pPr>
        <w:spacing w:line="257" w:lineRule="auto"/>
        <w:ind w:firstLine="426"/>
        <w:jc w:val="both"/>
        <w:rPr>
          <w:rFonts w:ascii="Calibri Light" w:eastAsia="Calibri" w:hAnsi="Calibri Light" w:cs="Times New Roman"/>
        </w:rPr>
      </w:pPr>
      <w:r w:rsidRPr="00270AFF">
        <w:rPr>
          <w:rFonts w:ascii="Calibri Light" w:eastAsia="Calibri" w:hAnsi="Calibri Light" w:cs="Times New Roman"/>
        </w:rPr>
        <w:t>The following key risks are associated with this proposal:</w:t>
      </w:r>
    </w:p>
    <w:tbl>
      <w:tblPr>
        <w:tblStyle w:val="TableGrid3"/>
        <w:tblW w:w="9355" w:type="dxa"/>
        <w:tblInd w:w="421" w:type="dxa"/>
        <w:tblLayout w:type="fixed"/>
        <w:tblLook w:val="04A0" w:firstRow="1" w:lastRow="0" w:firstColumn="1" w:lastColumn="0" w:noHBand="0" w:noVBand="1"/>
      </w:tblPr>
      <w:tblGrid>
        <w:gridCol w:w="567"/>
        <w:gridCol w:w="1559"/>
        <w:gridCol w:w="2126"/>
        <w:gridCol w:w="1134"/>
        <w:gridCol w:w="3969"/>
      </w:tblGrid>
      <w:tr w:rsidR="00270AFF" w:rsidRPr="00FD4CBE" w14:paraId="75F2D731" w14:textId="77777777" w:rsidTr="00DA7BE4">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17AF355A" w14:textId="77777777" w:rsidR="00270AFF" w:rsidRPr="00FD4CBE" w:rsidRDefault="00270AFF" w:rsidP="00270AFF">
            <w:pPr>
              <w:spacing w:before="80" w:after="80"/>
              <w:rPr>
                <w:rFonts w:ascii="Calibri" w:hAnsi="Calibri" w:cs="Calibri"/>
                <w:b/>
                <w:sz w:val="19"/>
                <w:szCs w:val="19"/>
              </w:rPr>
            </w:pPr>
            <w:bookmarkStart w:id="4" w:name="_Hlk3558821"/>
            <w:bookmarkStart w:id="5" w:name="_Hlk530142246"/>
            <w:r w:rsidRPr="00FD4CBE">
              <w:rPr>
                <w:rFonts w:ascii="Calibri" w:hAnsi="Calibri" w:cs="Calibri"/>
                <w:b/>
                <w:sz w:val="19"/>
                <w:szCs w:val="19"/>
              </w:rPr>
              <w:t>Risk</w:t>
            </w:r>
          </w:p>
        </w:tc>
        <w:tc>
          <w:tcPr>
            <w:tcW w:w="212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79E8507" w14:textId="77777777" w:rsidR="00270AFF" w:rsidRPr="00FD4CBE" w:rsidRDefault="00270AFF" w:rsidP="00270AFF">
            <w:pPr>
              <w:spacing w:before="80" w:after="80"/>
              <w:rPr>
                <w:rFonts w:ascii="Calibri" w:hAnsi="Calibri" w:cs="Calibri"/>
                <w:b/>
                <w:sz w:val="19"/>
                <w:szCs w:val="19"/>
              </w:rPr>
            </w:pPr>
            <w:r w:rsidRPr="00FD4CBE">
              <w:rPr>
                <w:rFonts w:ascii="Calibri" w:hAnsi="Calibri" w:cs="Calibri"/>
                <w:b/>
                <w:sz w:val="19"/>
                <w:szCs w:val="19"/>
              </w:rPr>
              <w:t>Impact</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7623462" w14:textId="77777777" w:rsidR="00270AFF" w:rsidRPr="00FD4CBE" w:rsidRDefault="00270AFF" w:rsidP="00270AFF">
            <w:pPr>
              <w:spacing w:before="80" w:after="80"/>
              <w:jc w:val="center"/>
              <w:rPr>
                <w:rFonts w:ascii="Calibri" w:hAnsi="Calibri" w:cs="Calibri"/>
                <w:b/>
                <w:sz w:val="19"/>
                <w:szCs w:val="19"/>
              </w:rPr>
            </w:pPr>
            <w:r w:rsidRPr="00FD4CBE">
              <w:rPr>
                <w:rFonts w:ascii="Calibri" w:hAnsi="Calibri" w:cs="Calibri"/>
                <w:b/>
                <w:sz w:val="19"/>
                <w:szCs w:val="19"/>
              </w:rPr>
              <w:t>Likelihood</w:t>
            </w:r>
          </w:p>
        </w:tc>
        <w:tc>
          <w:tcPr>
            <w:tcW w:w="396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D808172" w14:textId="77777777" w:rsidR="00270AFF" w:rsidRPr="00FD4CBE" w:rsidRDefault="00270AFF" w:rsidP="00270AFF">
            <w:pPr>
              <w:spacing w:before="80" w:after="80"/>
              <w:rPr>
                <w:rFonts w:ascii="Calibri" w:hAnsi="Calibri" w:cs="Calibri"/>
                <w:b/>
                <w:sz w:val="19"/>
                <w:szCs w:val="19"/>
              </w:rPr>
            </w:pPr>
            <w:r w:rsidRPr="00FD4CBE">
              <w:rPr>
                <w:rFonts w:ascii="Calibri" w:hAnsi="Calibri" w:cs="Calibri"/>
                <w:b/>
                <w:sz w:val="19"/>
                <w:szCs w:val="19"/>
              </w:rPr>
              <w:t>Mitigation</w:t>
            </w:r>
          </w:p>
        </w:tc>
      </w:tr>
      <w:bookmarkEnd w:id="4"/>
      <w:tr w:rsidR="00B76EAA" w:rsidRPr="00FD4CBE" w14:paraId="2ECC1E65" w14:textId="77777777" w:rsidTr="00DA7BE4">
        <w:tc>
          <w:tcPr>
            <w:tcW w:w="567" w:type="dxa"/>
            <w:tcBorders>
              <w:top w:val="single" w:sz="4" w:space="0" w:color="auto"/>
              <w:left w:val="single" w:sz="4" w:space="0" w:color="auto"/>
              <w:bottom w:val="single" w:sz="4" w:space="0" w:color="auto"/>
              <w:right w:val="single" w:sz="4" w:space="0" w:color="auto"/>
            </w:tcBorders>
          </w:tcPr>
          <w:p w14:paraId="0CA536E5" w14:textId="6EC6E572" w:rsidR="00B76EAA" w:rsidRPr="0055696F" w:rsidRDefault="00B76EAA" w:rsidP="00270AFF">
            <w:pPr>
              <w:spacing w:before="80" w:after="80"/>
              <w:rPr>
                <w:rFonts w:ascii="Calibri Light" w:hAnsi="Calibri Light" w:cs="Calibri Light"/>
                <w:sz w:val="20"/>
                <w:szCs w:val="20"/>
              </w:rPr>
            </w:pPr>
            <w:r w:rsidRPr="0055696F">
              <w:rPr>
                <w:rFonts w:ascii="Calibri Light" w:hAnsi="Calibri Light" w:cs="Calibri Light"/>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3937A7C3" w14:textId="15732745" w:rsidR="00B76EAA" w:rsidRPr="0055696F" w:rsidRDefault="00B76EAA" w:rsidP="00270AFF">
            <w:pPr>
              <w:spacing w:before="80" w:after="80"/>
              <w:rPr>
                <w:rFonts w:ascii="Calibri Light" w:hAnsi="Calibri Light" w:cs="Calibri Light"/>
                <w:sz w:val="20"/>
                <w:szCs w:val="20"/>
              </w:rPr>
            </w:pPr>
            <w:r w:rsidRPr="0055696F">
              <w:rPr>
                <w:rFonts w:ascii="Calibri Light" w:hAnsi="Calibri Light" w:cs="Calibri Light"/>
                <w:sz w:val="20"/>
                <w:szCs w:val="20"/>
              </w:rPr>
              <w:t>Uncertainty about level of investment from EZ required</w:t>
            </w:r>
          </w:p>
        </w:tc>
        <w:tc>
          <w:tcPr>
            <w:tcW w:w="2126" w:type="dxa"/>
            <w:tcBorders>
              <w:top w:val="single" w:sz="4" w:space="0" w:color="auto"/>
              <w:left w:val="single" w:sz="4" w:space="0" w:color="auto"/>
              <w:bottom w:val="single" w:sz="4" w:space="0" w:color="auto"/>
              <w:right w:val="single" w:sz="4" w:space="0" w:color="auto"/>
            </w:tcBorders>
          </w:tcPr>
          <w:p w14:paraId="272BC300" w14:textId="660762D4" w:rsidR="00B76EAA" w:rsidRPr="0055696F" w:rsidRDefault="00B76EAA" w:rsidP="00270AFF">
            <w:pPr>
              <w:spacing w:before="80" w:after="80"/>
              <w:rPr>
                <w:rFonts w:ascii="Calibri Light" w:hAnsi="Calibri Light" w:cs="Calibri Light"/>
                <w:sz w:val="20"/>
                <w:szCs w:val="20"/>
              </w:rPr>
            </w:pPr>
            <w:r w:rsidRPr="0055696F">
              <w:rPr>
                <w:rFonts w:ascii="Calibri Light" w:hAnsi="Calibri Light" w:cs="Calibri Light"/>
                <w:sz w:val="20"/>
                <w:szCs w:val="20"/>
              </w:rPr>
              <w:t>Increased funding from EZ required</w:t>
            </w:r>
          </w:p>
        </w:tc>
        <w:tc>
          <w:tcPr>
            <w:tcW w:w="1134" w:type="dxa"/>
            <w:tcBorders>
              <w:top w:val="single" w:sz="4" w:space="0" w:color="auto"/>
              <w:left w:val="single" w:sz="4" w:space="0" w:color="auto"/>
              <w:bottom w:val="single" w:sz="4" w:space="0" w:color="auto"/>
              <w:right w:val="single" w:sz="4" w:space="0" w:color="auto"/>
            </w:tcBorders>
          </w:tcPr>
          <w:p w14:paraId="54E4A4B3" w14:textId="0B36AEDF" w:rsidR="00B76EAA" w:rsidRPr="0055696F" w:rsidRDefault="00B76EAA"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Low</w:t>
            </w:r>
          </w:p>
        </w:tc>
        <w:tc>
          <w:tcPr>
            <w:tcW w:w="3969" w:type="dxa"/>
            <w:tcBorders>
              <w:top w:val="single" w:sz="4" w:space="0" w:color="auto"/>
              <w:left w:val="single" w:sz="4" w:space="0" w:color="auto"/>
              <w:bottom w:val="single" w:sz="4" w:space="0" w:color="auto"/>
              <w:right w:val="single" w:sz="4" w:space="0" w:color="auto"/>
            </w:tcBorders>
          </w:tcPr>
          <w:p w14:paraId="628F4EBA" w14:textId="563984C4" w:rsidR="00B76EAA" w:rsidRPr="0055696F" w:rsidRDefault="00B76EAA" w:rsidP="00270AFF">
            <w:pPr>
              <w:spacing w:before="80" w:after="80"/>
              <w:rPr>
                <w:rFonts w:ascii="Calibri Light" w:hAnsi="Calibri Light" w:cs="Calibri Light"/>
                <w:sz w:val="20"/>
                <w:szCs w:val="20"/>
              </w:rPr>
            </w:pPr>
            <w:r w:rsidRPr="0055696F">
              <w:rPr>
                <w:rFonts w:ascii="Calibri Light" w:hAnsi="Calibri Light" w:cs="Calibri Light"/>
                <w:sz w:val="20"/>
                <w:szCs w:val="20"/>
              </w:rPr>
              <w:t xml:space="preserve">The LEP has negotiated a finite investment envelope </w:t>
            </w:r>
            <w:r w:rsidR="004C0486" w:rsidRPr="0055696F">
              <w:rPr>
                <w:rFonts w:ascii="Calibri Light" w:hAnsi="Calibri Light" w:cs="Calibri Light"/>
                <w:sz w:val="20"/>
                <w:szCs w:val="20"/>
              </w:rPr>
              <w:t xml:space="preserve">which </w:t>
            </w:r>
            <w:r w:rsidRPr="0055696F">
              <w:rPr>
                <w:rFonts w:ascii="Calibri Light" w:hAnsi="Calibri Light" w:cs="Calibri Light"/>
                <w:sz w:val="20"/>
                <w:szCs w:val="20"/>
              </w:rPr>
              <w:t>cap</w:t>
            </w:r>
            <w:r w:rsidR="004C0486" w:rsidRPr="0055696F">
              <w:rPr>
                <w:rFonts w:ascii="Calibri Light" w:hAnsi="Calibri Light" w:cs="Calibri Light"/>
                <w:sz w:val="20"/>
                <w:szCs w:val="20"/>
              </w:rPr>
              <w:t>s</w:t>
            </w:r>
            <w:r w:rsidRPr="0055696F">
              <w:rPr>
                <w:rFonts w:ascii="Calibri Light" w:hAnsi="Calibri Light" w:cs="Calibri Light"/>
                <w:sz w:val="20"/>
                <w:szCs w:val="20"/>
              </w:rPr>
              <w:t xml:space="preserve"> the level of investment at £3.61m.</w:t>
            </w:r>
          </w:p>
        </w:tc>
      </w:tr>
      <w:bookmarkEnd w:id="5"/>
      <w:tr w:rsidR="00270AFF" w:rsidRPr="00FD4CBE" w14:paraId="666E2027"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090AC682"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7D6E13B5"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Estimated level of retained business rates not achieved</w:t>
            </w:r>
          </w:p>
        </w:tc>
        <w:tc>
          <w:tcPr>
            <w:tcW w:w="2126" w:type="dxa"/>
            <w:tcBorders>
              <w:top w:val="single" w:sz="4" w:space="0" w:color="auto"/>
              <w:left w:val="single" w:sz="4" w:space="0" w:color="auto"/>
              <w:bottom w:val="single" w:sz="4" w:space="0" w:color="auto"/>
              <w:right w:val="single" w:sz="4" w:space="0" w:color="auto"/>
            </w:tcBorders>
            <w:hideMark/>
          </w:tcPr>
          <w:p w14:paraId="02F70696"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Would impact on the ability of the LEP to repay funding.</w:t>
            </w:r>
          </w:p>
        </w:tc>
        <w:tc>
          <w:tcPr>
            <w:tcW w:w="1134" w:type="dxa"/>
            <w:tcBorders>
              <w:top w:val="single" w:sz="4" w:space="0" w:color="auto"/>
              <w:left w:val="single" w:sz="4" w:space="0" w:color="auto"/>
              <w:bottom w:val="single" w:sz="4" w:space="0" w:color="auto"/>
              <w:right w:val="single" w:sz="4" w:space="0" w:color="auto"/>
            </w:tcBorders>
            <w:hideMark/>
          </w:tcPr>
          <w:p w14:paraId="59C45779" w14:textId="77777777" w:rsidR="00270AFF" w:rsidRPr="0055696F" w:rsidRDefault="00270AFF"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Low</w:t>
            </w:r>
          </w:p>
        </w:tc>
        <w:tc>
          <w:tcPr>
            <w:tcW w:w="3969" w:type="dxa"/>
            <w:tcBorders>
              <w:top w:val="single" w:sz="4" w:space="0" w:color="auto"/>
              <w:left w:val="single" w:sz="4" w:space="0" w:color="auto"/>
              <w:bottom w:val="single" w:sz="4" w:space="0" w:color="auto"/>
              <w:right w:val="single" w:sz="4" w:space="0" w:color="auto"/>
            </w:tcBorders>
            <w:hideMark/>
          </w:tcPr>
          <w:p w14:paraId="5C5C9287"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 xml:space="preserve">Cushman &amp; Wakefield have assessed the estimates provided by Patrizia as reasonable and benchmarked them against available VOA data on comparable properties at Birchwood Park.  </w:t>
            </w:r>
          </w:p>
        </w:tc>
      </w:tr>
      <w:tr w:rsidR="00270AFF" w:rsidRPr="00FD4CBE" w14:paraId="75766F03"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29D47394"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5662AE76"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Developers do not deliver projects on time or on budget</w:t>
            </w:r>
          </w:p>
        </w:tc>
        <w:tc>
          <w:tcPr>
            <w:tcW w:w="2126" w:type="dxa"/>
            <w:tcBorders>
              <w:top w:val="single" w:sz="4" w:space="0" w:color="auto"/>
              <w:left w:val="single" w:sz="4" w:space="0" w:color="auto"/>
              <w:bottom w:val="single" w:sz="4" w:space="0" w:color="auto"/>
              <w:right w:val="single" w:sz="4" w:space="0" w:color="auto"/>
            </w:tcBorders>
            <w:hideMark/>
          </w:tcPr>
          <w:p w14:paraId="22CBB977"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Delays in completion of schemes would impact on level of retained business rates, whilst budget overruns would further increase the viability gap on schemes.</w:t>
            </w:r>
          </w:p>
        </w:tc>
        <w:tc>
          <w:tcPr>
            <w:tcW w:w="1134" w:type="dxa"/>
            <w:tcBorders>
              <w:top w:val="single" w:sz="4" w:space="0" w:color="auto"/>
              <w:left w:val="single" w:sz="4" w:space="0" w:color="auto"/>
              <w:bottom w:val="single" w:sz="4" w:space="0" w:color="auto"/>
              <w:right w:val="single" w:sz="4" w:space="0" w:color="auto"/>
            </w:tcBorders>
            <w:hideMark/>
          </w:tcPr>
          <w:p w14:paraId="7C96C07A" w14:textId="2E915D92" w:rsidR="00270AFF" w:rsidRPr="0055696F" w:rsidRDefault="00DA7BE4"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Moderate</w:t>
            </w:r>
          </w:p>
        </w:tc>
        <w:tc>
          <w:tcPr>
            <w:tcW w:w="3969" w:type="dxa"/>
            <w:tcBorders>
              <w:top w:val="single" w:sz="4" w:space="0" w:color="auto"/>
              <w:left w:val="single" w:sz="4" w:space="0" w:color="auto"/>
              <w:bottom w:val="single" w:sz="4" w:space="0" w:color="auto"/>
              <w:right w:val="single" w:sz="4" w:space="0" w:color="auto"/>
            </w:tcBorders>
            <w:hideMark/>
          </w:tcPr>
          <w:p w14:paraId="3E62F5A4"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 xml:space="preserve">Patrizia UK is an established and pro-active international Asset and Development Manager that has delivered new development in excess of £180m in Gross Development Value, including 135,000 sq ft of industrial and office development at Winnersh Triangle, Berkshire; 175,000 sq ft office building at First Street, Manchester; and 85,000 sq ft of industrial in Glasgow. They have a good track record of refurbishing and developing new property at Birchwood Park, including Quadrant Phase 1. Warrington Borough Council as the landowner/funder is generally considered to be well resourced and WBC’s </w:t>
            </w:r>
            <w:r w:rsidRPr="0055696F">
              <w:rPr>
                <w:rFonts w:ascii="Calibri Light" w:hAnsi="Calibri Light" w:cs="Calibri Light"/>
                <w:sz w:val="20"/>
                <w:szCs w:val="20"/>
              </w:rPr>
              <w:lastRenderedPageBreak/>
              <w:t xml:space="preserve">accounts indicate a Balance Sheet of £239.5m as at 31st March 2018. </w:t>
            </w:r>
          </w:p>
        </w:tc>
      </w:tr>
      <w:tr w:rsidR="00270AFF" w:rsidRPr="00FD4CBE" w14:paraId="659970AB"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5B8DCF82"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14:paraId="6A5E8D29"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Schemes do not achieve practical completion, which does not trigger the payment of business rates</w:t>
            </w:r>
          </w:p>
        </w:tc>
        <w:tc>
          <w:tcPr>
            <w:tcW w:w="2126" w:type="dxa"/>
            <w:tcBorders>
              <w:top w:val="single" w:sz="4" w:space="0" w:color="auto"/>
              <w:left w:val="single" w:sz="4" w:space="0" w:color="auto"/>
              <w:bottom w:val="single" w:sz="4" w:space="0" w:color="auto"/>
              <w:right w:val="single" w:sz="4" w:space="0" w:color="auto"/>
            </w:tcBorders>
            <w:hideMark/>
          </w:tcPr>
          <w:p w14:paraId="485A3D0E"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Would impact on the ability of the LEP to repay funding.</w:t>
            </w:r>
          </w:p>
        </w:tc>
        <w:tc>
          <w:tcPr>
            <w:tcW w:w="1134" w:type="dxa"/>
            <w:tcBorders>
              <w:top w:val="single" w:sz="4" w:space="0" w:color="auto"/>
              <w:left w:val="single" w:sz="4" w:space="0" w:color="auto"/>
              <w:bottom w:val="single" w:sz="4" w:space="0" w:color="auto"/>
              <w:right w:val="single" w:sz="4" w:space="0" w:color="auto"/>
            </w:tcBorders>
            <w:hideMark/>
          </w:tcPr>
          <w:p w14:paraId="48E50FC9" w14:textId="32181FA9" w:rsidR="00270AFF" w:rsidRPr="0055696F" w:rsidRDefault="00DA7BE4"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Low</w:t>
            </w:r>
          </w:p>
        </w:tc>
        <w:tc>
          <w:tcPr>
            <w:tcW w:w="3969" w:type="dxa"/>
            <w:tcBorders>
              <w:top w:val="single" w:sz="4" w:space="0" w:color="auto"/>
              <w:left w:val="single" w:sz="4" w:space="0" w:color="auto"/>
              <w:bottom w:val="single" w:sz="4" w:space="0" w:color="auto"/>
              <w:right w:val="single" w:sz="4" w:space="0" w:color="auto"/>
            </w:tcBorders>
            <w:hideMark/>
          </w:tcPr>
          <w:p w14:paraId="169B79B9" w14:textId="64E4E03E"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Track record of the develop</w:t>
            </w:r>
            <w:r w:rsidR="004C0486" w:rsidRPr="0055696F">
              <w:rPr>
                <w:rFonts w:ascii="Calibri Light" w:hAnsi="Calibri Light" w:cs="Calibri Light"/>
                <w:sz w:val="20"/>
                <w:szCs w:val="20"/>
              </w:rPr>
              <w:t>er</w:t>
            </w:r>
            <w:r w:rsidRPr="0055696F">
              <w:rPr>
                <w:rFonts w:ascii="Calibri Light" w:hAnsi="Calibri Light" w:cs="Calibri Light"/>
                <w:sz w:val="20"/>
                <w:szCs w:val="20"/>
              </w:rPr>
              <w:t xml:space="preserve"> and a longstop completion date set within the legal agreement, with clawback penalties for under-performance.</w:t>
            </w:r>
          </w:p>
        </w:tc>
      </w:tr>
      <w:tr w:rsidR="00270AFF" w:rsidRPr="00FD4CBE" w14:paraId="134FC12D"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4A842E61"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4BF42C69"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Developers deploy rate mitigation schemes to avoid empty rates</w:t>
            </w:r>
          </w:p>
        </w:tc>
        <w:tc>
          <w:tcPr>
            <w:tcW w:w="2126" w:type="dxa"/>
            <w:tcBorders>
              <w:top w:val="single" w:sz="4" w:space="0" w:color="auto"/>
              <w:left w:val="single" w:sz="4" w:space="0" w:color="auto"/>
              <w:bottom w:val="single" w:sz="4" w:space="0" w:color="auto"/>
              <w:right w:val="single" w:sz="4" w:space="0" w:color="auto"/>
            </w:tcBorders>
            <w:hideMark/>
          </w:tcPr>
          <w:p w14:paraId="71588492"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Could reduce empty rates payable to 25%, would impact on the ability of the LEP to repay funding.</w:t>
            </w:r>
          </w:p>
        </w:tc>
        <w:tc>
          <w:tcPr>
            <w:tcW w:w="1134" w:type="dxa"/>
            <w:tcBorders>
              <w:top w:val="single" w:sz="4" w:space="0" w:color="auto"/>
              <w:left w:val="single" w:sz="4" w:space="0" w:color="auto"/>
              <w:bottom w:val="single" w:sz="4" w:space="0" w:color="auto"/>
              <w:right w:val="single" w:sz="4" w:space="0" w:color="auto"/>
            </w:tcBorders>
            <w:hideMark/>
          </w:tcPr>
          <w:p w14:paraId="6BE2B95E" w14:textId="77777777" w:rsidR="00270AFF" w:rsidRPr="0055696F" w:rsidRDefault="00270AFF"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Low</w:t>
            </w:r>
          </w:p>
        </w:tc>
        <w:tc>
          <w:tcPr>
            <w:tcW w:w="3969" w:type="dxa"/>
            <w:tcBorders>
              <w:top w:val="single" w:sz="4" w:space="0" w:color="auto"/>
              <w:left w:val="single" w:sz="4" w:space="0" w:color="auto"/>
              <w:bottom w:val="single" w:sz="4" w:space="0" w:color="auto"/>
              <w:right w:val="single" w:sz="4" w:space="0" w:color="auto"/>
            </w:tcBorders>
            <w:hideMark/>
          </w:tcPr>
          <w:p w14:paraId="73EE2D60"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A ‘no rate mitigation’ clause built into the EZ investment legal agreement.</w:t>
            </w:r>
          </w:p>
        </w:tc>
      </w:tr>
      <w:tr w:rsidR="00270AFF" w:rsidRPr="00FD4CBE" w14:paraId="7E529403"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75B29437"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14:paraId="5EECFD03"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Schemes do not attract occupiers</w:t>
            </w:r>
          </w:p>
        </w:tc>
        <w:tc>
          <w:tcPr>
            <w:tcW w:w="2126" w:type="dxa"/>
            <w:tcBorders>
              <w:top w:val="single" w:sz="4" w:space="0" w:color="auto"/>
              <w:left w:val="single" w:sz="4" w:space="0" w:color="auto"/>
              <w:bottom w:val="single" w:sz="4" w:space="0" w:color="auto"/>
              <w:right w:val="single" w:sz="4" w:space="0" w:color="auto"/>
            </w:tcBorders>
            <w:hideMark/>
          </w:tcPr>
          <w:p w14:paraId="44B33FD2"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 xml:space="preserve">Limited impact as developers still </w:t>
            </w:r>
            <w:proofErr w:type="gramStart"/>
            <w:r w:rsidRPr="0055696F">
              <w:rPr>
                <w:rFonts w:ascii="Calibri Light" w:hAnsi="Calibri Light" w:cs="Calibri Light"/>
                <w:sz w:val="20"/>
                <w:szCs w:val="20"/>
              </w:rPr>
              <w:t>have to</w:t>
            </w:r>
            <w:proofErr w:type="gramEnd"/>
            <w:r w:rsidRPr="0055696F">
              <w:rPr>
                <w:rFonts w:ascii="Calibri Light" w:hAnsi="Calibri Light" w:cs="Calibri Light"/>
                <w:sz w:val="20"/>
                <w:szCs w:val="20"/>
              </w:rPr>
              <w:t xml:space="preserve"> pay empty rates</w:t>
            </w:r>
          </w:p>
        </w:tc>
        <w:tc>
          <w:tcPr>
            <w:tcW w:w="1134" w:type="dxa"/>
            <w:tcBorders>
              <w:top w:val="single" w:sz="4" w:space="0" w:color="auto"/>
              <w:left w:val="single" w:sz="4" w:space="0" w:color="auto"/>
              <w:bottom w:val="single" w:sz="4" w:space="0" w:color="auto"/>
              <w:right w:val="single" w:sz="4" w:space="0" w:color="auto"/>
            </w:tcBorders>
            <w:hideMark/>
          </w:tcPr>
          <w:p w14:paraId="2BA42C10" w14:textId="77777777" w:rsidR="00270AFF" w:rsidRPr="0055696F" w:rsidRDefault="00270AFF"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Moderate</w:t>
            </w:r>
          </w:p>
        </w:tc>
        <w:tc>
          <w:tcPr>
            <w:tcW w:w="3969" w:type="dxa"/>
            <w:tcBorders>
              <w:top w:val="single" w:sz="4" w:space="0" w:color="auto"/>
              <w:left w:val="single" w:sz="4" w:space="0" w:color="auto"/>
              <w:bottom w:val="single" w:sz="4" w:space="0" w:color="auto"/>
              <w:right w:val="single" w:sz="4" w:space="0" w:color="auto"/>
            </w:tcBorders>
            <w:hideMark/>
          </w:tcPr>
          <w:p w14:paraId="543B344F"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Applicant has evidenced market demand through a market report provided by a B8 property agents as well as being able to demonstrate strong enquires for this type of property and even lost enquires which they have been unable to satisfy due to lack of suitable premises.</w:t>
            </w:r>
          </w:p>
        </w:tc>
      </w:tr>
      <w:tr w:rsidR="00270AFF" w:rsidRPr="00FD4CBE" w14:paraId="43E213CB" w14:textId="77777777" w:rsidTr="00DA7BE4">
        <w:tc>
          <w:tcPr>
            <w:tcW w:w="567" w:type="dxa"/>
            <w:tcBorders>
              <w:top w:val="single" w:sz="4" w:space="0" w:color="auto"/>
              <w:left w:val="single" w:sz="4" w:space="0" w:color="auto"/>
              <w:bottom w:val="single" w:sz="4" w:space="0" w:color="auto"/>
              <w:right w:val="single" w:sz="4" w:space="0" w:color="auto"/>
            </w:tcBorders>
            <w:hideMark/>
          </w:tcPr>
          <w:p w14:paraId="410524B6"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14:paraId="7D5E2A10"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Investments are not deemed to be State Aid compliant</w:t>
            </w:r>
          </w:p>
        </w:tc>
        <w:tc>
          <w:tcPr>
            <w:tcW w:w="2126" w:type="dxa"/>
            <w:tcBorders>
              <w:top w:val="single" w:sz="4" w:space="0" w:color="auto"/>
              <w:left w:val="single" w:sz="4" w:space="0" w:color="auto"/>
              <w:bottom w:val="single" w:sz="4" w:space="0" w:color="auto"/>
              <w:right w:val="single" w:sz="4" w:space="0" w:color="auto"/>
            </w:tcBorders>
            <w:hideMark/>
          </w:tcPr>
          <w:p w14:paraId="2080A0C0" w14:textId="77777777"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Limited impact as the risk on State Aid sits with the developer</w:t>
            </w:r>
          </w:p>
        </w:tc>
        <w:tc>
          <w:tcPr>
            <w:tcW w:w="1134" w:type="dxa"/>
            <w:tcBorders>
              <w:top w:val="single" w:sz="4" w:space="0" w:color="auto"/>
              <w:left w:val="single" w:sz="4" w:space="0" w:color="auto"/>
              <w:bottom w:val="single" w:sz="4" w:space="0" w:color="auto"/>
              <w:right w:val="single" w:sz="4" w:space="0" w:color="auto"/>
            </w:tcBorders>
            <w:hideMark/>
          </w:tcPr>
          <w:p w14:paraId="01A39FD3" w14:textId="77777777" w:rsidR="00270AFF" w:rsidRPr="0055696F" w:rsidRDefault="00270AFF" w:rsidP="00270AFF">
            <w:pPr>
              <w:spacing w:before="80" w:after="80"/>
              <w:jc w:val="center"/>
              <w:rPr>
                <w:rFonts w:ascii="Calibri Light" w:hAnsi="Calibri Light" w:cs="Calibri Light"/>
                <w:sz w:val="20"/>
                <w:szCs w:val="20"/>
              </w:rPr>
            </w:pPr>
            <w:r w:rsidRPr="0055696F">
              <w:rPr>
                <w:rFonts w:ascii="Calibri Light" w:hAnsi="Calibri Light" w:cs="Calibri Light"/>
                <w:sz w:val="20"/>
                <w:szCs w:val="20"/>
              </w:rPr>
              <w:t>Low</w:t>
            </w:r>
          </w:p>
        </w:tc>
        <w:tc>
          <w:tcPr>
            <w:tcW w:w="3969" w:type="dxa"/>
            <w:tcBorders>
              <w:top w:val="single" w:sz="4" w:space="0" w:color="auto"/>
              <w:left w:val="single" w:sz="4" w:space="0" w:color="auto"/>
              <w:bottom w:val="single" w:sz="4" w:space="0" w:color="auto"/>
              <w:right w:val="single" w:sz="4" w:space="0" w:color="auto"/>
            </w:tcBorders>
            <w:hideMark/>
          </w:tcPr>
          <w:p w14:paraId="7D370C5C" w14:textId="58D8E95A" w:rsidR="00270AFF" w:rsidRPr="0055696F" w:rsidRDefault="00270AFF" w:rsidP="00270AFF">
            <w:pPr>
              <w:spacing w:before="80" w:after="80"/>
              <w:rPr>
                <w:rFonts w:ascii="Calibri Light" w:hAnsi="Calibri Light" w:cs="Calibri Light"/>
                <w:sz w:val="20"/>
                <w:szCs w:val="20"/>
              </w:rPr>
            </w:pPr>
            <w:r w:rsidRPr="0055696F">
              <w:rPr>
                <w:rFonts w:ascii="Calibri Light" w:hAnsi="Calibri Light" w:cs="Calibri Light"/>
                <w:sz w:val="20"/>
                <w:szCs w:val="20"/>
              </w:rPr>
              <w:t>Provision of a State Aid opinion as part of the legal agreement</w:t>
            </w:r>
            <w:r w:rsidR="00DA7BE4" w:rsidRPr="0055696F">
              <w:rPr>
                <w:rFonts w:ascii="Calibri Light" w:hAnsi="Calibri Light" w:cs="Calibri Light"/>
                <w:sz w:val="20"/>
                <w:szCs w:val="20"/>
              </w:rPr>
              <w:t xml:space="preserve"> and </w:t>
            </w:r>
            <w:r w:rsidRPr="0055696F">
              <w:rPr>
                <w:rFonts w:ascii="Calibri Light" w:hAnsi="Calibri Light" w:cs="Calibri Light"/>
                <w:sz w:val="20"/>
                <w:szCs w:val="20"/>
              </w:rPr>
              <w:t>by the LEP’s legal advisers. Clawback provisions in the EZ investment legal agreement are triggered by any State Aid breach.</w:t>
            </w:r>
          </w:p>
        </w:tc>
      </w:tr>
    </w:tbl>
    <w:p w14:paraId="145F2BEB" w14:textId="3497188D" w:rsidR="00DA7BE4" w:rsidRPr="00270AFF" w:rsidRDefault="008122E7" w:rsidP="00DA7BE4">
      <w:pPr>
        <w:keepNext/>
        <w:keepLines/>
        <w:numPr>
          <w:ilvl w:val="0"/>
          <w:numId w:val="23"/>
        </w:numPr>
        <w:spacing w:before="240" w:after="0" w:line="257" w:lineRule="auto"/>
        <w:ind w:left="426" w:hanging="426"/>
        <w:jc w:val="both"/>
        <w:outlineLvl w:val="2"/>
        <w:rPr>
          <w:rFonts w:asciiTheme="minorHAnsi" w:eastAsiaTheme="majorEastAsia" w:hAnsiTheme="minorHAnsi" w:cstheme="majorBidi"/>
          <w:b/>
          <w:szCs w:val="24"/>
        </w:rPr>
      </w:pPr>
      <w:r>
        <w:rPr>
          <w:rFonts w:asciiTheme="minorHAnsi" w:eastAsiaTheme="majorEastAsia" w:hAnsiTheme="minorHAnsi" w:cstheme="majorBidi"/>
          <w:b/>
          <w:szCs w:val="24"/>
        </w:rPr>
        <w:t xml:space="preserve">Independent </w:t>
      </w:r>
      <w:r w:rsidR="00DA7BE4" w:rsidRPr="00270AFF">
        <w:rPr>
          <w:rFonts w:asciiTheme="minorHAnsi" w:eastAsiaTheme="majorEastAsia" w:hAnsiTheme="minorHAnsi" w:cstheme="majorBidi"/>
          <w:b/>
          <w:szCs w:val="24"/>
        </w:rPr>
        <w:t>appraisal</w:t>
      </w:r>
    </w:p>
    <w:p w14:paraId="22248CFF" w14:textId="1DF47E3A" w:rsidR="00DA7BE4" w:rsidRDefault="00DA7BE4" w:rsidP="00DA7BE4">
      <w:pPr>
        <w:spacing w:line="257" w:lineRule="auto"/>
        <w:ind w:left="426"/>
        <w:jc w:val="both"/>
        <w:rPr>
          <w:rFonts w:ascii="Calibri Light" w:eastAsia="Calibri" w:hAnsi="Calibri Light" w:cs="Times New Roman"/>
        </w:rPr>
      </w:pPr>
      <w:r w:rsidRPr="00270AFF">
        <w:rPr>
          <w:rFonts w:ascii="Calibri Light" w:eastAsia="Calibri" w:hAnsi="Calibri Light" w:cs="Times New Roman"/>
        </w:rPr>
        <w:t>Cushman &amp; Wakefield have undertaken a technical appraisal</w:t>
      </w:r>
      <w:r w:rsidR="00FD4CBE">
        <w:rPr>
          <w:rFonts w:ascii="Calibri Light" w:eastAsia="Calibri" w:hAnsi="Calibri Light" w:cs="Times New Roman"/>
        </w:rPr>
        <w:t xml:space="preserve"> </w:t>
      </w:r>
      <w:r w:rsidRPr="00270AFF">
        <w:rPr>
          <w:rFonts w:ascii="Calibri Light" w:eastAsia="Calibri" w:hAnsi="Calibri Light" w:cs="Times New Roman"/>
        </w:rPr>
        <w:t xml:space="preserve">of the proposed investment which concludes that </w:t>
      </w:r>
      <w:proofErr w:type="gramStart"/>
      <w:r w:rsidRPr="00270AFF">
        <w:rPr>
          <w:rFonts w:ascii="Calibri Light" w:eastAsia="Calibri" w:hAnsi="Calibri Light" w:cs="Times New Roman"/>
        </w:rPr>
        <w:t>overall</w:t>
      </w:r>
      <w:proofErr w:type="gramEnd"/>
      <w:r w:rsidRPr="00270AFF">
        <w:rPr>
          <w:rFonts w:ascii="Calibri Light" w:eastAsia="Calibri" w:hAnsi="Calibri Light" w:cs="Times New Roman"/>
        </w:rPr>
        <w:t xml:space="preserve"> the project provide</w:t>
      </w:r>
      <w:r>
        <w:rPr>
          <w:rFonts w:ascii="Calibri Light" w:eastAsia="Calibri" w:hAnsi="Calibri Light" w:cs="Times New Roman"/>
        </w:rPr>
        <w:t>s</w:t>
      </w:r>
      <w:r w:rsidRPr="00270AFF">
        <w:rPr>
          <w:rFonts w:ascii="Calibri Light" w:eastAsia="Calibri" w:hAnsi="Calibri Light" w:cs="Times New Roman"/>
        </w:rPr>
        <w:t xml:space="preserve"> a good case for EZ investment</w:t>
      </w:r>
      <w:r>
        <w:rPr>
          <w:rFonts w:ascii="Calibri Light" w:eastAsia="Calibri" w:hAnsi="Calibri Light" w:cs="Times New Roman"/>
        </w:rPr>
        <w:t xml:space="preserve"> in terms of: </w:t>
      </w:r>
    </w:p>
    <w:p w14:paraId="6F41D612" w14:textId="77777777" w:rsidR="00DA7BE4" w:rsidRPr="008B7E88" w:rsidRDefault="00DA7BE4" w:rsidP="00DA7BE4">
      <w:pPr>
        <w:pStyle w:val="ListParagraph"/>
        <w:numPr>
          <w:ilvl w:val="0"/>
          <w:numId w:val="39"/>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Strategic fit with the EZ Development Strategy</w:t>
      </w:r>
    </w:p>
    <w:p w14:paraId="4BBE5CA9" w14:textId="77777777" w:rsidR="00DA7BE4" w:rsidRPr="008B7E88" w:rsidRDefault="00DA7BE4" w:rsidP="00DA7BE4">
      <w:pPr>
        <w:pStyle w:val="ListParagraph"/>
        <w:numPr>
          <w:ilvl w:val="0"/>
          <w:numId w:val="39"/>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Clear demand for the project given the evidenced scale of business enquiries received and lack of available supply of high</w:t>
      </w:r>
      <w:r>
        <w:rPr>
          <w:rFonts w:ascii="Calibri Light" w:eastAsia="Calibri" w:hAnsi="Calibri Light" w:cs="Times New Roman"/>
        </w:rPr>
        <w:t>-</w:t>
      </w:r>
      <w:r w:rsidRPr="008B7E88">
        <w:rPr>
          <w:rFonts w:ascii="Calibri Light" w:eastAsia="Calibri" w:hAnsi="Calibri Light" w:cs="Times New Roman"/>
        </w:rPr>
        <w:t xml:space="preserve">quality industrial units of this mid-scale within Warrington and the wider sub-region. </w:t>
      </w:r>
    </w:p>
    <w:p w14:paraId="60F59D6E" w14:textId="77777777" w:rsidR="00DA7BE4" w:rsidRPr="008B7E88" w:rsidRDefault="00DA7BE4" w:rsidP="00DA7BE4">
      <w:pPr>
        <w:pStyle w:val="ListParagraph"/>
        <w:numPr>
          <w:ilvl w:val="0"/>
          <w:numId w:val="39"/>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The need and rationale for public sector support as demonstrated by the unwillingness of the market to risk speculative development and for occupiers requiring space for immediate occupation</w:t>
      </w:r>
    </w:p>
    <w:p w14:paraId="49A55D3A" w14:textId="77777777" w:rsidR="00DA7BE4" w:rsidRDefault="00DA7BE4" w:rsidP="00DA7BE4">
      <w:pPr>
        <w:pStyle w:val="ListParagraph"/>
        <w:numPr>
          <w:ilvl w:val="0"/>
          <w:numId w:val="39"/>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 xml:space="preserve">Good value for money </w:t>
      </w:r>
      <w:r>
        <w:rPr>
          <w:rFonts w:ascii="Calibri Light" w:eastAsia="Calibri" w:hAnsi="Calibri Light" w:cs="Times New Roman"/>
        </w:rPr>
        <w:t xml:space="preserve">in terms of </w:t>
      </w:r>
      <w:r w:rsidRPr="008B7E88">
        <w:rPr>
          <w:rFonts w:ascii="Calibri Light" w:eastAsia="Calibri" w:hAnsi="Calibri Light" w:cs="Times New Roman"/>
        </w:rPr>
        <w:t xml:space="preserve">cost per job </w:t>
      </w:r>
      <w:r>
        <w:rPr>
          <w:rFonts w:ascii="Calibri Light" w:eastAsia="Calibri" w:hAnsi="Calibri Light" w:cs="Times New Roman"/>
        </w:rPr>
        <w:t>and level of retained business rates</w:t>
      </w:r>
      <w:r w:rsidRPr="008B7E88">
        <w:rPr>
          <w:rFonts w:ascii="Calibri Light" w:eastAsia="Calibri" w:hAnsi="Calibri Light" w:cs="Times New Roman"/>
        </w:rPr>
        <w:t xml:space="preserve"> </w:t>
      </w:r>
    </w:p>
    <w:p w14:paraId="67F652DC" w14:textId="77777777" w:rsidR="00DA7BE4" w:rsidRPr="008B7E88" w:rsidRDefault="00DA7BE4" w:rsidP="00DA7BE4">
      <w:pPr>
        <w:pStyle w:val="ListParagraph"/>
        <w:numPr>
          <w:ilvl w:val="0"/>
          <w:numId w:val="39"/>
        </w:numPr>
        <w:spacing w:line="257" w:lineRule="auto"/>
        <w:ind w:left="709" w:hanging="284"/>
        <w:contextualSpacing w:val="0"/>
        <w:jc w:val="both"/>
        <w:rPr>
          <w:rFonts w:ascii="Calibri Light" w:eastAsia="Calibri" w:hAnsi="Calibri Light" w:cs="Times New Roman"/>
        </w:rPr>
      </w:pPr>
      <w:r>
        <w:rPr>
          <w:rFonts w:ascii="Calibri Light" w:eastAsia="Calibri" w:hAnsi="Calibri Light" w:cs="Times New Roman"/>
        </w:rPr>
        <w:t>D</w:t>
      </w:r>
      <w:r w:rsidRPr="008B7E88">
        <w:rPr>
          <w:rFonts w:ascii="Calibri Light" w:eastAsia="Calibri" w:hAnsi="Calibri Light" w:cs="Times New Roman"/>
        </w:rPr>
        <w:t>eliver</w:t>
      </w:r>
      <w:r>
        <w:rPr>
          <w:rFonts w:ascii="Calibri Light" w:eastAsia="Calibri" w:hAnsi="Calibri Light" w:cs="Times New Roman"/>
        </w:rPr>
        <w:t xml:space="preserve">ability of the scheme including </w:t>
      </w:r>
      <w:r w:rsidRPr="008B7E88">
        <w:rPr>
          <w:rFonts w:ascii="Calibri Light" w:eastAsia="Calibri" w:hAnsi="Calibri Light" w:cs="Times New Roman"/>
        </w:rPr>
        <w:t xml:space="preserve">freehold ownership </w:t>
      </w:r>
      <w:r>
        <w:rPr>
          <w:rFonts w:ascii="Calibri Light" w:eastAsia="Calibri" w:hAnsi="Calibri Light" w:cs="Times New Roman"/>
        </w:rPr>
        <w:t xml:space="preserve">of the site, necessary </w:t>
      </w:r>
      <w:r w:rsidRPr="008B7E88">
        <w:rPr>
          <w:rFonts w:ascii="Calibri Light" w:eastAsia="Calibri" w:hAnsi="Calibri Light" w:cs="Times New Roman"/>
        </w:rPr>
        <w:t>planning consent</w:t>
      </w:r>
      <w:r>
        <w:rPr>
          <w:rFonts w:ascii="Calibri Light" w:eastAsia="Calibri" w:hAnsi="Calibri Light" w:cs="Times New Roman"/>
        </w:rPr>
        <w:t>s and track record of the developer.</w:t>
      </w:r>
    </w:p>
    <w:p w14:paraId="6FD5A520" w14:textId="77777777" w:rsidR="00DA7BE4" w:rsidRPr="008B7E88" w:rsidRDefault="00DA7BE4" w:rsidP="00DA7BE4">
      <w:pPr>
        <w:spacing w:line="257" w:lineRule="auto"/>
        <w:ind w:left="426"/>
        <w:jc w:val="both"/>
        <w:rPr>
          <w:rFonts w:ascii="Calibri Light" w:eastAsia="Calibri" w:hAnsi="Calibri Light" w:cs="Times New Roman"/>
        </w:rPr>
      </w:pPr>
      <w:r>
        <w:rPr>
          <w:rFonts w:ascii="Calibri Light" w:eastAsia="Calibri" w:hAnsi="Calibri Light" w:cs="Times New Roman"/>
        </w:rPr>
        <w:t>Cushman &amp; Wakefield identified t</w:t>
      </w:r>
      <w:r w:rsidRPr="008B7E88">
        <w:rPr>
          <w:rFonts w:ascii="Calibri Light" w:eastAsia="Calibri" w:hAnsi="Calibri Light" w:cs="Times New Roman"/>
        </w:rPr>
        <w:t>hree areas that require</w:t>
      </w:r>
      <w:r>
        <w:rPr>
          <w:rFonts w:ascii="Calibri Light" w:eastAsia="Calibri" w:hAnsi="Calibri Light" w:cs="Times New Roman"/>
        </w:rPr>
        <w:t>d</w:t>
      </w:r>
      <w:r w:rsidRPr="008B7E88">
        <w:rPr>
          <w:rFonts w:ascii="Calibri Light" w:eastAsia="Calibri" w:hAnsi="Calibri Light" w:cs="Times New Roman"/>
        </w:rPr>
        <w:t xml:space="preserve"> additional </w:t>
      </w:r>
      <w:r>
        <w:rPr>
          <w:rFonts w:ascii="Calibri Light" w:eastAsia="Calibri" w:hAnsi="Calibri Light" w:cs="Times New Roman"/>
        </w:rPr>
        <w:t>clarification</w:t>
      </w:r>
      <w:r w:rsidRPr="008B7E88">
        <w:rPr>
          <w:rFonts w:ascii="Calibri Light" w:eastAsia="Calibri" w:hAnsi="Calibri Light" w:cs="Times New Roman"/>
        </w:rPr>
        <w:t>:</w:t>
      </w:r>
    </w:p>
    <w:p w14:paraId="722CA958" w14:textId="77777777" w:rsidR="00DA7BE4" w:rsidRPr="008B7E88" w:rsidRDefault="00DA7BE4" w:rsidP="00E57293">
      <w:pPr>
        <w:pStyle w:val="ListParagraph"/>
        <w:numPr>
          <w:ilvl w:val="0"/>
          <w:numId w:val="40"/>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 xml:space="preserve">A satisfactory State Aid opinion from the applicant’s legal </w:t>
      </w:r>
      <w:proofErr w:type="gramStart"/>
      <w:r w:rsidRPr="008B7E88">
        <w:rPr>
          <w:rFonts w:ascii="Calibri Light" w:eastAsia="Calibri" w:hAnsi="Calibri Light" w:cs="Times New Roman"/>
        </w:rPr>
        <w:t>advisors;</w:t>
      </w:r>
      <w:proofErr w:type="gramEnd"/>
    </w:p>
    <w:p w14:paraId="36698463" w14:textId="77777777" w:rsidR="00DA7BE4" w:rsidRPr="00DA7BE4" w:rsidRDefault="00DA7BE4" w:rsidP="00E57293">
      <w:pPr>
        <w:pStyle w:val="ListParagraph"/>
        <w:numPr>
          <w:ilvl w:val="0"/>
          <w:numId w:val="40"/>
        </w:numPr>
        <w:spacing w:line="257" w:lineRule="auto"/>
        <w:ind w:left="709" w:hanging="284"/>
        <w:contextualSpacing w:val="0"/>
        <w:jc w:val="both"/>
        <w:rPr>
          <w:rFonts w:ascii="Calibri Light" w:eastAsia="Calibri" w:hAnsi="Calibri Light" w:cs="Times New Roman"/>
        </w:rPr>
      </w:pPr>
      <w:r w:rsidRPr="008B7E88">
        <w:rPr>
          <w:rFonts w:ascii="Calibri Light" w:eastAsia="Calibri" w:hAnsi="Calibri Light" w:cs="Times New Roman"/>
        </w:rPr>
        <w:t>Further evidence to support the applicant’s claim that they are exempt from public</w:t>
      </w:r>
      <w:r>
        <w:rPr>
          <w:rFonts w:ascii="Calibri Light" w:eastAsia="Calibri" w:hAnsi="Calibri Light" w:cs="Times New Roman"/>
        </w:rPr>
        <w:t xml:space="preserve"> </w:t>
      </w:r>
      <w:r w:rsidRPr="00DA7BE4">
        <w:rPr>
          <w:rFonts w:ascii="Calibri Light" w:eastAsia="Calibri" w:hAnsi="Calibri Light" w:cs="Times New Roman"/>
        </w:rPr>
        <w:t>procurement regulations; and</w:t>
      </w:r>
    </w:p>
    <w:p w14:paraId="0908A7B4" w14:textId="77777777" w:rsidR="00DA7BE4" w:rsidRPr="00DA7BE4" w:rsidRDefault="00DA7BE4" w:rsidP="00E57293">
      <w:pPr>
        <w:pStyle w:val="ListParagraph"/>
        <w:numPr>
          <w:ilvl w:val="0"/>
          <w:numId w:val="40"/>
        </w:numPr>
        <w:spacing w:line="257" w:lineRule="auto"/>
        <w:ind w:left="709" w:hanging="284"/>
        <w:contextualSpacing w:val="0"/>
        <w:jc w:val="both"/>
        <w:rPr>
          <w:rFonts w:ascii="Calibri Light" w:eastAsia="Calibri" w:hAnsi="Calibri Light" w:cs="Times New Roman"/>
        </w:rPr>
      </w:pPr>
      <w:r w:rsidRPr="00DA7BE4">
        <w:rPr>
          <w:rFonts w:ascii="Calibri Light" w:eastAsia="Calibri" w:hAnsi="Calibri Light" w:cs="Times New Roman"/>
        </w:rPr>
        <w:lastRenderedPageBreak/>
        <w:t xml:space="preserve">Further evidence from the Applicant that the assumptions in their financial appraisal represent the minimum cost in terms of the public sector investment required, </w:t>
      </w:r>
      <w:proofErr w:type="gramStart"/>
      <w:r w:rsidRPr="00DA7BE4">
        <w:rPr>
          <w:rFonts w:ascii="Calibri Light" w:eastAsia="Calibri" w:hAnsi="Calibri Light" w:cs="Times New Roman"/>
        </w:rPr>
        <w:t>in particular</w:t>
      </w:r>
      <w:r>
        <w:rPr>
          <w:rFonts w:ascii="Calibri Light" w:eastAsia="Calibri" w:hAnsi="Calibri Light" w:cs="Times New Roman"/>
        </w:rPr>
        <w:t xml:space="preserve"> </w:t>
      </w:r>
      <w:r w:rsidRPr="00DA7BE4">
        <w:rPr>
          <w:rFonts w:ascii="Calibri Light" w:eastAsia="Calibri" w:hAnsi="Calibri Light" w:cs="Times New Roman"/>
        </w:rPr>
        <w:t>in</w:t>
      </w:r>
      <w:proofErr w:type="gramEnd"/>
      <w:r w:rsidRPr="00DA7BE4">
        <w:rPr>
          <w:rFonts w:ascii="Calibri Light" w:eastAsia="Calibri" w:hAnsi="Calibri Light" w:cs="Times New Roman"/>
        </w:rPr>
        <w:t xml:space="preserve"> relation to yields and profit margin.</w:t>
      </w:r>
    </w:p>
    <w:p w14:paraId="2C1660C9" w14:textId="6E51E387" w:rsidR="00DA7BE4" w:rsidRDefault="00DA7BE4" w:rsidP="00DA7BE4">
      <w:pPr>
        <w:spacing w:line="257" w:lineRule="auto"/>
        <w:ind w:left="426"/>
        <w:jc w:val="both"/>
        <w:rPr>
          <w:rFonts w:ascii="Calibri Light" w:eastAsia="Calibri" w:hAnsi="Calibri Light" w:cs="Times New Roman"/>
        </w:rPr>
      </w:pPr>
      <w:r w:rsidRPr="008B7E88">
        <w:rPr>
          <w:rFonts w:ascii="Calibri Light" w:eastAsia="Calibri" w:hAnsi="Calibri Light" w:cs="Times New Roman"/>
        </w:rPr>
        <w:t>These final points of clarification</w:t>
      </w:r>
      <w:r>
        <w:rPr>
          <w:rFonts w:ascii="Calibri Light" w:eastAsia="Calibri" w:hAnsi="Calibri Light" w:cs="Times New Roman"/>
        </w:rPr>
        <w:t xml:space="preserve"> have been</w:t>
      </w:r>
      <w:r w:rsidRPr="008B7E88">
        <w:rPr>
          <w:rFonts w:ascii="Calibri Light" w:eastAsia="Calibri" w:hAnsi="Calibri Light" w:cs="Times New Roman"/>
        </w:rPr>
        <w:t xml:space="preserve"> addressed during the drafting of the </w:t>
      </w:r>
      <w:r w:rsidR="008E40B0">
        <w:rPr>
          <w:rFonts w:ascii="Calibri Light" w:eastAsia="Calibri" w:hAnsi="Calibri Light" w:cs="Times New Roman"/>
        </w:rPr>
        <w:t>Investment Agreement</w:t>
      </w:r>
      <w:r w:rsidRPr="008B7E88">
        <w:rPr>
          <w:rFonts w:ascii="Calibri Light" w:eastAsia="Calibri" w:hAnsi="Calibri Light" w:cs="Times New Roman"/>
        </w:rPr>
        <w:t>.</w:t>
      </w:r>
    </w:p>
    <w:p w14:paraId="347FF2AE" w14:textId="70A660E7" w:rsidR="00A17E73" w:rsidRDefault="00A17E73" w:rsidP="00751FE4">
      <w:pPr>
        <w:pStyle w:val="Heading1"/>
        <w:numPr>
          <w:ilvl w:val="0"/>
          <w:numId w:val="23"/>
        </w:numPr>
        <w:ind w:left="426" w:hanging="426"/>
        <w:jc w:val="both"/>
        <w:rPr>
          <w:rFonts w:cstheme="majorHAnsi"/>
        </w:rPr>
      </w:pPr>
      <w:r w:rsidRPr="00A17E73">
        <w:rPr>
          <w:rFonts w:cstheme="majorHAnsi"/>
        </w:rPr>
        <w:t xml:space="preserve">Investment </w:t>
      </w:r>
      <w:r w:rsidR="008E40B0">
        <w:rPr>
          <w:rFonts w:cstheme="majorHAnsi"/>
        </w:rPr>
        <w:t>a</w:t>
      </w:r>
      <w:r w:rsidRPr="00A17E73">
        <w:rPr>
          <w:rFonts w:cstheme="majorHAnsi"/>
        </w:rPr>
        <w:t xml:space="preserve">greement </w:t>
      </w:r>
    </w:p>
    <w:p w14:paraId="1D6D3977" w14:textId="60478E1D" w:rsidR="00F156F1" w:rsidRDefault="00A17E73" w:rsidP="00DE0433">
      <w:pPr>
        <w:ind w:left="426"/>
        <w:jc w:val="both"/>
      </w:pPr>
      <w:r>
        <w:t xml:space="preserve">An Investment Agreement </w:t>
      </w:r>
      <w:r w:rsidRPr="00A17E73">
        <w:t xml:space="preserve">has been drawn up by DWF acting for the LEP and </w:t>
      </w:r>
      <w:r w:rsidR="00B76EAA">
        <w:t>Addleshaw Goddard acting for the applicant and a</w:t>
      </w:r>
      <w:r w:rsidRPr="00A17E73">
        <w:t xml:space="preserve"> </w:t>
      </w:r>
      <w:r w:rsidR="00191B67">
        <w:t>T</w:t>
      </w:r>
      <w:r w:rsidRPr="00A17E73">
        <w:t xml:space="preserve">erm </w:t>
      </w:r>
      <w:r w:rsidR="00191B67">
        <w:t>S</w:t>
      </w:r>
      <w:r w:rsidRPr="00A17E73">
        <w:t>heet setting out the key commercial terms in the legal agreement</w:t>
      </w:r>
      <w:r w:rsidR="00266EFD">
        <w:t xml:space="preserve"> is set out in </w:t>
      </w:r>
      <w:r w:rsidR="00266EFD" w:rsidRPr="00266EFD">
        <w:rPr>
          <w:rFonts w:asciiTheme="minorHAnsi" w:hAnsiTheme="minorHAnsi" w:cstheme="minorHAnsi"/>
          <w:b/>
          <w:bCs/>
        </w:rPr>
        <w:t>Appendix A</w:t>
      </w:r>
      <w:r w:rsidR="00F156F1">
        <w:t>.</w:t>
      </w:r>
      <w:r w:rsidRPr="00A17E73">
        <w:t xml:space="preserve"> Of note, is the fact that the applicant will only draw down the investment from the LEP at Practical Completion (PC) of the scheme, which removes the risk of non-completion or underperformance to the LEP and negates the requirement for a company guarantee as business rates liability are triggered at PC.</w:t>
      </w:r>
    </w:p>
    <w:p w14:paraId="4BDDDC5E" w14:textId="7F61A60B" w:rsidR="00751FE4" w:rsidRDefault="00751FE4" w:rsidP="00751FE4">
      <w:pPr>
        <w:pStyle w:val="Heading1"/>
        <w:numPr>
          <w:ilvl w:val="0"/>
          <w:numId w:val="23"/>
        </w:numPr>
        <w:ind w:left="426" w:hanging="426"/>
        <w:jc w:val="both"/>
        <w:rPr>
          <w:rFonts w:cstheme="majorHAnsi"/>
        </w:rPr>
      </w:pPr>
      <w:r>
        <w:rPr>
          <w:rFonts w:cstheme="majorHAnsi"/>
        </w:rPr>
        <w:t>Funding</w:t>
      </w:r>
    </w:p>
    <w:p w14:paraId="651EC276" w14:textId="515023A4" w:rsidR="00751FE4" w:rsidRPr="00751FE4" w:rsidRDefault="006B65AE" w:rsidP="00660809">
      <w:pPr>
        <w:ind w:left="426"/>
        <w:jc w:val="both"/>
      </w:pPr>
      <w:r>
        <w:t xml:space="preserve">The </w:t>
      </w:r>
      <w:r w:rsidR="00F156F1">
        <w:t>investment will be funded through the EZ Borrowing Facility established with Warrington Borough Council which</w:t>
      </w:r>
      <w:r w:rsidR="00B76EAA">
        <w:t xml:space="preserve"> will </w:t>
      </w:r>
      <w:r w:rsidRPr="006B65AE">
        <w:t>be repaid through the retained business rates generated.</w:t>
      </w:r>
      <w:r w:rsidR="00660809">
        <w:t xml:space="preserve"> </w:t>
      </w:r>
    </w:p>
    <w:p w14:paraId="0373E38C" w14:textId="547FF4C4" w:rsidR="00751FE4" w:rsidRDefault="00751FE4" w:rsidP="00751FE4">
      <w:pPr>
        <w:pStyle w:val="Heading1"/>
        <w:numPr>
          <w:ilvl w:val="0"/>
          <w:numId w:val="23"/>
        </w:numPr>
        <w:ind w:left="426" w:hanging="426"/>
        <w:jc w:val="both"/>
        <w:rPr>
          <w:rFonts w:cstheme="majorHAnsi"/>
        </w:rPr>
      </w:pPr>
      <w:r>
        <w:rPr>
          <w:rFonts w:cstheme="majorHAnsi"/>
        </w:rPr>
        <w:t>Conclusions and recommendations</w:t>
      </w:r>
    </w:p>
    <w:p w14:paraId="0EFD6762" w14:textId="3BDA55D3" w:rsidR="00B76EAA" w:rsidRPr="00F156F1" w:rsidRDefault="00A758D0" w:rsidP="00913DC8">
      <w:pPr>
        <w:ind w:left="426"/>
        <w:jc w:val="both"/>
      </w:pPr>
      <w:r w:rsidRPr="00F156F1">
        <w:t xml:space="preserve">The Quadrant Phase 2 scheme approved by the EZ Board </w:t>
      </w:r>
      <w:r w:rsidR="00266EFD">
        <w:t xml:space="preserve">and the Performance &amp; Investment Committee </w:t>
      </w:r>
      <w:r w:rsidRPr="00F156F1">
        <w:t>represents a good investment for the Enterprise Zone. It provides a clear fit with the vision, strategic objectives and investment priorities set out in the EZ Development and Investment Strategy and provides a good ROI in terms of retained business rates and wider economic benefits to the Cheshire Science Corridor and sub-region.</w:t>
      </w:r>
    </w:p>
    <w:p w14:paraId="689D5A18" w14:textId="178E4DF1" w:rsidR="00266EFD" w:rsidRDefault="007961BE" w:rsidP="00266EFD">
      <w:pPr>
        <w:ind w:left="426"/>
        <w:jc w:val="both"/>
      </w:pPr>
      <w:bookmarkStart w:id="6" w:name="_Hlk34843193"/>
      <w:r w:rsidRPr="00F156F1">
        <w:t>On this basis, i</w:t>
      </w:r>
      <w:r w:rsidR="00A758D0" w:rsidRPr="00F156F1">
        <w:t xml:space="preserve">t </w:t>
      </w:r>
      <w:r w:rsidR="00266EFD">
        <w:t>is recommended that the LEP Board ratifies the decision of the Enterprise Zone Board and the Performance &amp; Investment Committee</w:t>
      </w:r>
      <w:r w:rsidR="00266EFD" w:rsidRPr="00F156F1">
        <w:t xml:space="preserve"> </w:t>
      </w:r>
      <w:r w:rsidR="00266EFD">
        <w:t>to approve the investment in the Quadrant Phase 2 scheme at Birchwood Park and delegates authority to the Chair of the Enterprise Zone Board to sign the legal agreement with the applicant, subject to the EZ loan facility being in place.</w:t>
      </w:r>
    </w:p>
    <w:bookmarkEnd w:id="3"/>
    <w:bookmarkEnd w:id="6"/>
    <w:p w14:paraId="29F2298C" w14:textId="3E2A7AA9" w:rsidR="007868BF" w:rsidRDefault="007868BF">
      <w:r>
        <w:br w:type="page"/>
      </w:r>
    </w:p>
    <w:p w14:paraId="3E5176D0" w14:textId="3300C7C5" w:rsidR="007868BF" w:rsidRPr="007868BF" w:rsidRDefault="007868BF" w:rsidP="007868BF">
      <w:pPr>
        <w:rPr>
          <w:rFonts w:asciiTheme="minorHAnsi" w:hAnsiTheme="minorHAnsi" w:cstheme="minorHAnsi"/>
          <w:b/>
          <w:bCs/>
          <w:sz w:val="32"/>
          <w:szCs w:val="32"/>
        </w:rPr>
      </w:pPr>
      <w:r w:rsidRPr="007868BF">
        <w:rPr>
          <w:rFonts w:asciiTheme="minorHAnsi" w:hAnsiTheme="minorHAnsi" w:cstheme="minorHAnsi"/>
          <w:b/>
          <w:bCs/>
          <w:sz w:val="32"/>
          <w:szCs w:val="32"/>
        </w:rPr>
        <w:lastRenderedPageBreak/>
        <w:t>Appendix A: Investment Term Sheet</w:t>
      </w:r>
    </w:p>
    <w:tbl>
      <w:tblPr>
        <w:tblStyle w:val="TableGrid"/>
        <w:tblW w:w="0" w:type="auto"/>
        <w:tblInd w:w="-5" w:type="dxa"/>
        <w:tblLook w:val="04A0" w:firstRow="1" w:lastRow="0" w:firstColumn="1" w:lastColumn="0" w:noHBand="0" w:noVBand="1"/>
      </w:tblPr>
      <w:tblGrid>
        <w:gridCol w:w="3119"/>
        <w:gridCol w:w="6520"/>
      </w:tblGrid>
      <w:tr w:rsidR="007868BF" w:rsidRPr="007764B4" w14:paraId="3849A4E4" w14:textId="77777777" w:rsidTr="007764B4">
        <w:tc>
          <w:tcPr>
            <w:tcW w:w="3119" w:type="dxa"/>
          </w:tcPr>
          <w:p w14:paraId="5647E978"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Recipient:</w:t>
            </w:r>
          </w:p>
        </w:tc>
        <w:tc>
          <w:tcPr>
            <w:tcW w:w="6520" w:type="dxa"/>
          </w:tcPr>
          <w:p w14:paraId="1FD48D9E" w14:textId="77777777" w:rsidR="007868BF" w:rsidRPr="007764B4" w:rsidRDefault="007868BF" w:rsidP="00E601CA">
            <w:pPr>
              <w:rPr>
                <w:sz w:val="20"/>
                <w:szCs w:val="20"/>
              </w:rPr>
            </w:pPr>
            <w:r w:rsidRPr="007764B4">
              <w:rPr>
                <w:sz w:val="20"/>
                <w:szCs w:val="20"/>
              </w:rPr>
              <w:t>WBC Birchwood Trustee Limited</w:t>
            </w:r>
          </w:p>
        </w:tc>
      </w:tr>
      <w:tr w:rsidR="007868BF" w:rsidRPr="007764B4" w14:paraId="28464AC9" w14:textId="77777777" w:rsidTr="007764B4">
        <w:tc>
          <w:tcPr>
            <w:tcW w:w="3119" w:type="dxa"/>
          </w:tcPr>
          <w:p w14:paraId="7C478508"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Project Name:</w:t>
            </w:r>
          </w:p>
        </w:tc>
        <w:tc>
          <w:tcPr>
            <w:tcW w:w="6520" w:type="dxa"/>
          </w:tcPr>
          <w:p w14:paraId="5EC78BAD" w14:textId="77777777" w:rsidR="007868BF" w:rsidRPr="007764B4" w:rsidRDefault="007868BF" w:rsidP="00E601CA">
            <w:pPr>
              <w:rPr>
                <w:sz w:val="20"/>
                <w:szCs w:val="20"/>
              </w:rPr>
            </w:pPr>
            <w:r w:rsidRPr="007764B4">
              <w:rPr>
                <w:sz w:val="20"/>
                <w:szCs w:val="20"/>
              </w:rPr>
              <w:t>Quadrant Phase 2</w:t>
            </w:r>
          </w:p>
        </w:tc>
      </w:tr>
      <w:tr w:rsidR="007868BF" w:rsidRPr="007764B4" w14:paraId="165365D4" w14:textId="77777777" w:rsidTr="007764B4">
        <w:tc>
          <w:tcPr>
            <w:tcW w:w="3119" w:type="dxa"/>
          </w:tcPr>
          <w:p w14:paraId="2BAFB9D1"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Amount of Investment:</w:t>
            </w:r>
          </w:p>
        </w:tc>
        <w:tc>
          <w:tcPr>
            <w:tcW w:w="6520" w:type="dxa"/>
          </w:tcPr>
          <w:p w14:paraId="0F7854A1" w14:textId="77777777" w:rsidR="007868BF" w:rsidRPr="007764B4" w:rsidRDefault="007868BF" w:rsidP="00E601CA">
            <w:pPr>
              <w:rPr>
                <w:sz w:val="20"/>
                <w:szCs w:val="20"/>
              </w:rPr>
            </w:pPr>
            <w:r w:rsidRPr="007764B4">
              <w:rPr>
                <w:sz w:val="20"/>
                <w:szCs w:val="20"/>
              </w:rPr>
              <w:t>£3,618,000</w:t>
            </w:r>
          </w:p>
        </w:tc>
      </w:tr>
      <w:tr w:rsidR="007868BF" w:rsidRPr="007764B4" w14:paraId="5941E0EF" w14:textId="77777777" w:rsidTr="007764B4">
        <w:tc>
          <w:tcPr>
            <w:tcW w:w="3119" w:type="dxa"/>
          </w:tcPr>
          <w:p w14:paraId="1876387B"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Purpose:</w:t>
            </w:r>
          </w:p>
        </w:tc>
        <w:tc>
          <w:tcPr>
            <w:tcW w:w="6520" w:type="dxa"/>
          </w:tcPr>
          <w:p w14:paraId="0A617E95" w14:textId="77777777" w:rsidR="007868BF" w:rsidRPr="007764B4" w:rsidRDefault="007868BF" w:rsidP="00E601CA">
            <w:pPr>
              <w:rPr>
                <w:sz w:val="20"/>
                <w:szCs w:val="20"/>
              </w:rPr>
            </w:pPr>
            <w:r w:rsidRPr="007764B4">
              <w:rPr>
                <w:sz w:val="20"/>
                <w:szCs w:val="20"/>
              </w:rPr>
              <w:t>Development of £15.2m project to develop five industrial units totalling 15,773 sq m (169,785 sq ft) at Birchwood Park, Warrington.</w:t>
            </w:r>
          </w:p>
        </w:tc>
      </w:tr>
      <w:tr w:rsidR="007868BF" w:rsidRPr="007764B4" w14:paraId="0AC12BF2" w14:textId="77777777" w:rsidTr="007764B4">
        <w:tc>
          <w:tcPr>
            <w:tcW w:w="3119" w:type="dxa"/>
          </w:tcPr>
          <w:p w14:paraId="4F5F239D"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Funding:</w:t>
            </w:r>
          </w:p>
        </w:tc>
        <w:tc>
          <w:tcPr>
            <w:tcW w:w="6520" w:type="dxa"/>
          </w:tcPr>
          <w:p w14:paraId="0FE6225E" w14:textId="77777777" w:rsidR="007868BF" w:rsidRPr="007764B4" w:rsidRDefault="007868BF" w:rsidP="00E601CA">
            <w:pPr>
              <w:rPr>
                <w:sz w:val="20"/>
                <w:szCs w:val="20"/>
              </w:rPr>
            </w:pPr>
            <w:r w:rsidRPr="007764B4">
              <w:rPr>
                <w:sz w:val="20"/>
                <w:szCs w:val="20"/>
              </w:rPr>
              <w:t>Local Authority Borrowing</w:t>
            </w:r>
          </w:p>
        </w:tc>
      </w:tr>
      <w:tr w:rsidR="007868BF" w:rsidRPr="007764B4" w14:paraId="3ABEB43C" w14:textId="77777777" w:rsidTr="007764B4">
        <w:tc>
          <w:tcPr>
            <w:tcW w:w="3119" w:type="dxa"/>
          </w:tcPr>
          <w:p w14:paraId="2FBF9471"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Repayment:</w:t>
            </w:r>
          </w:p>
        </w:tc>
        <w:tc>
          <w:tcPr>
            <w:tcW w:w="6520" w:type="dxa"/>
          </w:tcPr>
          <w:p w14:paraId="63AE8F5C" w14:textId="77777777" w:rsidR="007868BF" w:rsidRPr="007764B4" w:rsidRDefault="007868BF" w:rsidP="00E601CA">
            <w:pPr>
              <w:rPr>
                <w:sz w:val="20"/>
                <w:szCs w:val="20"/>
              </w:rPr>
            </w:pPr>
            <w:r w:rsidRPr="007764B4">
              <w:rPr>
                <w:sz w:val="20"/>
                <w:szCs w:val="20"/>
              </w:rPr>
              <w:t>From Enterprise Zone Retained Business Rates in connection with the Project, with a restriction on the Recipient utilising any rate mitigation schemes.</w:t>
            </w:r>
          </w:p>
        </w:tc>
      </w:tr>
      <w:tr w:rsidR="007868BF" w:rsidRPr="007764B4" w14:paraId="05C0D405" w14:textId="77777777" w:rsidTr="007764B4">
        <w:tc>
          <w:tcPr>
            <w:tcW w:w="3119" w:type="dxa"/>
          </w:tcPr>
          <w:p w14:paraId="41152648"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Length of time site must be maintained to Approved Use:</w:t>
            </w:r>
          </w:p>
        </w:tc>
        <w:tc>
          <w:tcPr>
            <w:tcW w:w="6520" w:type="dxa"/>
          </w:tcPr>
          <w:p w14:paraId="636A72BE" w14:textId="77777777" w:rsidR="007868BF" w:rsidRPr="007764B4" w:rsidRDefault="007868BF" w:rsidP="00E601CA">
            <w:pPr>
              <w:rPr>
                <w:sz w:val="20"/>
                <w:szCs w:val="20"/>
              </w:rPr>
            </w:pPr>
            <w:r w:rsidRPr="007764B4">
              <w:rPr>
                <w:sz w:val="20"/>
                <w:szCs w:val="20"/>
              </w:rPr>
              <w:t>10 years</w:t>
            </w:r>
          </w:p>
        </w:tc>
      </w:tr>
      <w:tr w:rsidR="007868BF" w:rsidRPr="007764B4" w14:paraId="1A24BB91" w14:textId="77777777" w:rsidTr="007764B4">
        <w:tc>
          <w:tcPr>
            <w:tcW w:w="3119" w:type="dxa"/>
          </w:tcPr>
          <w:p w14:paraId="519273FF"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Key Milestones:</w:t>
            </w:r>
          </w:p>
        </w:tc>
        <w:tc>
          <w:tcPr>
            <w:tcW w:w="6520" w:type="dxa"/>
          </w:tcPr>
          <w:p w14:paraId="7A78CF9B" w14:textId="77777777" w:rsidR="007868BF" w:rsidRPr="007764B4" w:rsidRDefault="007868BF" w:rsidP="00E601CA">
            <w:pPr>
              <w:rPr>
                <w:sz w:val="20"/>
                <w:szCs w:val="20"/>
              </w:rPr>
            </w:pPr>
            <w:r w:rsidRPr="007764B4">
              <w:rPr>
                <w:sz w:val="20"/>
                <w:szCs w:val="20"/>
              </w:rPr>
              <w:t>The Recipient is obliged to adhere to the following key milestones within the project:</w:t>
            </w:r>
          </w:p>
          <w:p w14:paraId="07C16293" w14:textId="77777777" w:rsidR="007868BF" w:rsidRPr="007764B4" w:rsidRDefault="007868BF" w:rsidP="007868BF">
            <w:pPr>
              <w:pStyle w:val="ListParagraph"/>
              <w:numPr>
                <w:ilvl w:val="0"/>
                <w:numId w:val="44"/>
              </w:numPr>
              <w:ind w:left="320" w:hanging="320"/>
              <w:jc w:val="both"/>
              <w:rPr>
                <w:sz w:val="20"/>
                <w:szCs w:val="20"/>
              </w:rPr>
            </w:pPr>
            <w:r w:rsidRPr="007764B4">
              <w:rPr>
                <w:sz w:val="20"/>
                <w:szCs w:val="20"/>
              </w:rPr>
              <w:t>Longstop start date within 12 months (i.e. drawdown of first claim)</w:t>
            </w:r>
          </w:p>
          <w:p w14:paraId="20EF5F38" w14:textId="77777777" w:rsidR="007868BF" w:rsidRPr="007764B4" w:rsidRDefault="007868BF" w:rsidP="007868BF">
            <w:pPr>
              <w:pStyle w:val="ListParagraph"/>
              <w:numPr>
                <w:ilvl w:val="0"/>
                <w:numId w:val="44"/>
              </w:numPr>
              <w:ind w:left="320" w:hanging="320"/>
              <w:jc w:val="both"/>
              <w:rPr>
                <w:sz w:val="20"/>
                <w:szCs w:val="20"/>
              </w:rPr>
            </w:pPr>
            <w:r w:rsidRPr="007764B4">
              <w:rPr>
                <w:sz w:val="20"/>
                <w:szCs w:val="20"/>
              </w:rPr>
              <w:t>Practical Completion within 3 years of start date</w:t>
            </w:r>
          </w:p>
        </w:tc>
      </w:tr>
      <w:tr w:rsidR="007868BF" w:rsidRPr="007764B4" w14:paraId="777CBDE5" w14:textId="77777777" w:rsidTr="007764B4">
        <w:tc>
          <w:tcPr>
            <w:tcW w:w="3119" w:type="dxa"/>
          </w:tcPr>
          <w:p w14:paraId="0E3C6373"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Draw Down of the Claim:</w:t>
            </w:r>
          </w:p>
        </w:tc>
        <w:tc>
          <w:tcPr>
            <w:tcW w:w="6520" w:type="dxa"/>
          </w:tcPr>
          <w:p w14:paraId="3DBFE7FA" w14:textId="77777777" w:rsidR="007868BF" w:rsidRPr="007764B4" w:rsidRDefault="007868BF" w:rsidP="00E601CA">
            <w:pPr>
              <w:rPr>
                <w:sz w:val="20"/>
                <w:szCs w:val="20"/>
              </w:rPr>
            </w:pPr>
            <w:r w:rsidRPr="007764B4">
              <w:rPr>
                <w:sz w:val="20"/>
                <w:szCs w:val="20"/>
              </w:rPr>
              <w:t>Investment will only be drawn down on Practical Completion of the scheme and subject to the following:</w:t>
            </w:r>
          </w:p>
          <w:p w14:paraId="06333A51" w14:textId="77777777" w:rsidR="007868BF" w:rsidRPr="007764B4" w:rsidRDefault="007868BF" w:rsidP="007868BF">
            <w:pPr>
              <w:pStyle w:val="ListParagraph"/>
              <w:numPr>
                <w:ilvl w:val="0"/>
                <w:numId w:val="45"/>
              </w:numPr>
              <w:ind w:left="320" w:hanging="320"/>
              <w:jc w:val="both"/>
              <w:rPr>
                <w:sz w:val="20"/>
                <w:szCs w:val="20"/>
              </w:rPr>
            </w:pPr>
            <w:r w:rsidRPr="007764B4">
              <w:rPr>
                <w:sz w:val="20"/>
                <w:szCs w:val="20"/>
              </w:rPr>
              <w:t>Funder satisfaction that the Works to which the investment relates have been carried out to the approved project specifications</w:t>
            </w:r>
          </w:p>
          <w:p w14:paraId="7650D664" w14:textId="77777777" w:rsidR="007868BF" w:rsidRPr="007764B4" w:rsidRDefault="007868BF" w:rsidP="007868BF">
            <w:pPr>
              <w:pStyle w:val="ListParagraph"/>
              <w:numPr>
                <w:ilvl w:val="0"/>
                <w:numId w:val="45"/>
              </w:numPr>
              <w:ind w:left="320" w:hanging="320"/>
              <w:jc w:val="both"/>
              <w:rPr>
                <w:sz w:val="20"/>
                <w:szCs w:val="20"/>
              </w:rPr>
            </w:pPr>
            <w:r w:rsidRPr="007764B4">
              <w:rPr>
                <w:sz w:val="20"/>
                <w:szCs w:val="20"/>
              </w:rPr>
              <w:t>Funder satisfaction of the State Aid position</w:t>
            </w:r>
          </w:p>
          <w:p w14:paraId="163DB789" w14:textId="77777777" w:rsidR="007868BF" w:rsidRPr="007764B4" w:rsidRDefault="007868BF" w:rsidP="007868BF">
            <w:pPr>
              <w:pStyle w:val="ListParagraph"/>
              <w:numPr>
                <w:ilvl w:val="0"/>
                <w:numId w:val="45"/>
              </w:numPr>
              <w:ind w:left="320" w:hanging="320"/>
              <w:jc w:val="both"/>
              <w:rPr>
                <w:sz w:val="20"/>
                <w:szCs w:val="20"/>
              </w:rPr>
            </w:pPr>
            <w:r w:rsidRPr="007764B4">
              <w:rPr>
                <w:sz w:val="20"/>
                <w:szCs w:val="20"/>
              </w:rPr>
              <w:t xml:space="preserve">Funder satisfaction with any </w:t>
            </w:r>
            <w:proofErr w:type="gramStart"/>
            <w:r w:rsidRPr="007764B4">
              <w:rPr>
                <w:sz w:val="20"/>
                <w:szCs w:val="20"/>
              </w:rPr>
              <w:t>third party</w:t>
            </w:r>
            <w:proofErr w:type="gramEnd"/>
            <w:r w:rsidRPr="007764B4">
              <w:rPr>
                <w:sz w:val="20"/>
                <w:szCs w:val="20"/>
              </w:rPr>
              <w:t xml:space="preserve"> funding</w:t>
            </w:r>
          </w:p>
          <w:p w14:paraId="58B6CA53" w14:textId="77777777" w:rsidR="007868BF" w:rsidRPr="007764B4" w:rsidRDefault="007868BF" w:rsidP="007868BF">
            <w:pPr>
              <w:pStyle w:val="ListParagraph"/>
              <w:numPr>
                <w:ilvl w:val="0"/>
                <w:numId w:val="45"/>
              </w:numPr>
              <w:ind w:left="320" w:hanging="320"/>
              <w:jc w:val="both"/>
              <w:rPr>
                <w:sz w:val="20"/>
                <w:szCs w:val="20"/>
              </w:rPr>
            </w:pPr>
            <w:r w:rsidRPr="007764B4">
              <w:rPr>
                <w:sz w:val="20"/>
                <w:szCs w:val="20"/>
              </w:rPr>
              <w:t>Recipient has obtained the necessary consents</w:t>
            </w:r>
          </w:p>
        </w:tc>
      </w:tr>
      <w:tr w:rsidR="007868BF" w:rsidRPr="007764B4" w14:paraId="29465EC6" w14:textId="77777777" w:rsidTr="007764B4">
        <w:tc>
          <w:tcPr>
            <w:tcW w:w="3119" w:type="dxa"/>
          </w:tcPr>
          <w:p w14:paraId="078E020A"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Overage:</w:t>
            </w:r>
          </w:p>
        </w:tc>
        <w:tc>
          <w:tcPr>
            <w:tcW w:w="6520" w:type="dxa"/>
          </w:tcPr>
          <w:p w14:paraId="6DF0F93F" w14:textId="77777777" w:rsidR="007868BF" w:rsidRPr="007764B4" w:rsidRDefault="007868BF" w:rsidP="00E601CA">
            <w:pPr>
              <w:rPr>
                <w:sz w:val="20"/>
                <w:szCs w:val="20"/>
              </w:rPr>
            </w:pPr>
            <w:r w:rsidRPr="007764B4">
              <w:rPr>
                <w:sz w:val="20"/>
                <w:szCs w:val="20"/>
              </w:rPr>
              <w:t>An overage payment is payable by the Recipient, which is calculated on the sale price or an independent valuation at an agreed calculation date as follows:</w:t>
            </w:r>
          </w:p>
          <w:p w14:paraId="5096C7E4"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Parties agreed project costs</w:t>
            </w:r>
          </w:p>
          <w:p w14:paraId="437F6625"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Parties agreed priority return to investor of 25%</w:t>
            </w:r>
          </w:p>
          <w:p w14:paraId="097E7E00"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The Funder then achieves 50% of the Overall Surplus after those deductions.</w:t>
            </w:r>
          </w:p>
          <w:p w14:paraId="54B47055" w14:textId="77777777" w:rsidR="007868BF" w:rsidRPr="007764B4" w:rsidRDefault="007868BF" w:rsidP="007868BF">
            <w:pPr>
              <w:pStyle w:val="ListParagraph"/>
              <w:numPr>
                <w:ilvl w:val="0"/>
                <w:numId w:val="46"/>
              </w:numPr>
              <w:ind w:left="321" w:hanging="321"/>
              <w:jc w:val="both"/>
              <w:rPr>
                <w:sz w:val="20"/>
                <w:szCs w:val="20"/>
              </w:rPr>
            </w:pPr>
            <w:r w:rsidRPr="007764B4">
              <w:rPr>
                <w:sz w:val="20"/>
                <w:szCs w:val="20"/>
              </w:rPr>
              <w:t>Overage is payable on the earlier of Disposal at the end of the investment period.</w:t>
            </w:r>
          </w:p>
        </w:tc>
      </w:tr>
      <w:tr w:rsidR="007868BF" w:rsidRPr="007764B4" w14:paraId="1824EE49" w14:textId="77777777" w:rsidTr="007764B4">
        <w:tc>
          <w:tcPr>
            <w:tcW w:w="3119" w:type="dxa"/>
          </w:tcPr>
          <w:p w14:paraId="0BAE8901"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Permitted Changes:</w:t>
            </w:r>
          </w:p>
        </w:tc>
        <w:tc>
          <w:tcPr>
            <w:tcW w:w="6520" w:type="dxa"/>
          </w:tcPr>
          <w:p w14:paraId="41CAB23F" w14:textId="77777777" w:rsidR="007868BF" w:rsidRPr="007764B4" w:rsidRDefault="007868BF" w:rsidP="00E601CA">
            <w:pPr>
              <w:rPr>
                <w:sz w:val="20"/>
                <w:szCs w:val="20"/>
              </w:rPr>
            </w:pPr>
            <w:proofErr w:type="gramStart"/>
            <w:r w:rsidRPr="007764B4">
              <w:rPr>
                <w:sz w:val="20"/>
                <w:szCs w:val="20"/>
              </w:rPr>
              <w:t>Any and all</w:t>
            </w:r>
            <w:proofErr w:type="gramEnd"/>
            <w:r w:rsidRPr="007764B4">
              <w:rPr>
                <w:sz w:val="20"/>
                <w:szCs w:val="20"/>
              </w:rPr>
              <w:t xml:space="preserve"> changes must be approved by the Funder via a Project Change Form.</w:t>
            </w:r>
          </w:p>
        </w:tc>
      </w:tr>
      <w:tr w:rsidR="007868BF" w:rsidRPr="007764B4" w14:paraId="7FC261CB" w14:textId="77777777" w:rsidTr="007764B4">
        <w:tc>
          <w:tcPr>
            <w:tcW w:w="3119" w:type="dxa"/>
          </w:tcPr>
          <w:p w14:paraId="5BD6205D"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Permitted Disposal:</w:t>
            </w:r>
          </w:p>
        </w:tc>
        <w:tc>
          <w:tcPr>
            <w:tcW w:w="6520" w:type="dxa"/>
          </w:tcPr>
          <w:p w14:paraId="40A47251" w14:textId="77777777" w:rsidR="007868BF" w:rsidRPr="007764B4" w:rsidRDefault="007868BF" w:rsidP="00E601CA">
            <w:pPr>
              <w:rPr>
                <w:sz w:val="20"/>
                <w:szCs w:val="20"/>
              </w:rPr>
            </w:pPr>
            <w:r w:rsidRPr="007764B4">
              <w:rPr>
                <w:sz w:val="20"/>
                <w:szCs w:val="20"/>
              </w:rPr>
              <w:t>The Recipient the right to dispose of part of/the site without triggering the overage clause for leases under 35 years</w:t>
            </w:r>
          </w:p>
        </w:tc>
      </w:tr>
      <w:tr w:rsidR="007868BF" w:rsidRPr="007764B4" w14:paraId="11F26100" w14:textId="77777777" w:rsidTr="007764B4">
        <w:tc>
          <w:tcPr>
            <w:tcW w:w="3119" w:type="dxa"/>
          </w:tcPr>
          <w:p w14:paraId="5F2E96D0"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Security:</w:t>
            </w:r>
          </w:p>
        </w:tc>
        <w:tc>
          <w:tcPr>
            <w:tcW w:w="6520" w:type="dxa"/>
          </w:tcPr>
          <w:p w14:paraId="195CA353" w14:textId="77777777" w:rsidR="007868BF" w:rsidRPr="007764B4" w:rsidRDefault="007868BF" w:rsidP="00E601CA">
            <w:pPr>
              <w:rPr>
                <w:sz w:val="20"/>
                <w:szCs w:val="20"/>
              </w:rPr>
            </w:pPr>
            <w:r w:rsidRPr="007764B4">
              <w:rPr>
                <w:sz w:val="20"/>
                <w:szCs w:val="20"/>
              </w:rPr>
              <w:t>No guarantee is required as the Recipient will only draw down the investment on Practical Completion of the scheme.</w:t>
            </w:r>
          </w:p>
        </w:tc>
      </w:tr>
      <w:tr w:rsidR="007868BF" w:rsidRPr="007764B4" w14:paraId="227DB63B" w14:textId="77777777" w:rsidTr="007764B4">
        <w:tc>
          <w:tcPr>
            <w:tcW w:w="3119" w:type="dxa"/>
          </w:tcPr>
          <w:p w14:paraId="1A7FF92C"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Events of Default/Clawback:</w:t>
            </w:r>
          </w:p>
        </w:tc>
        <w:tc>
          <w:tcPr>
            <w:tcW w:w="6520" w:type="dxa"/>
          </w:tcPr>
          <w:p w14:paraId="3A86BAFE" w14:textId="77777777" w:rsidR="007868BF" w:rsidRPr="007764B4" w:rsidRDefault="007868BF" w:rsidP="00E601CA">
            <w:pPr>
              <w:rPr>
                <w:sz w:val="20"/>
                <w:szCs w:val="20"/>
              </w:rPr>
            </w:pPr>
            <w:r w:rsidRPr="007764B4">
              <w:rPr>
                <w:sz w:val="20"/>
                <w:szCs w:val="20"/>
              </w:rPr>
              <w:t>The Recipient will be required to repay the monies in the following events:</w:t>
            </w:r>
          </w:p>
          <w:p w14:paraId="5DC069FA" w14:textId="77777777" w:rsidR="007868BF" w:rsidRPr="007764B4" w:rsidRDefault="007868BF" w:rsidP="00E601CA">
            <w:pPr>
              <w:rPr>
                <w:sz w:val="20"/>
                <w:szCs w:val="20"/>
              </w:rPr>
            </w:pPr>
            <w:r w:rsidRPr="007764B4">
              <w:rPr>
                <w:sz w:val="20"/>
                <w:szCs w:val="20"/>
              </w:rPr>
              <w:t>(a) Any finding of State Aid breach</w:t>
            </w:r>
          </w:p>
          <w:p w14:paraId="39AE9581" w14:textId="77777777" w:rsidR="007868BF" w:rsidRPr="007764B4" w:rsidRDefault="007868BF" w:rsidP="00E601CA">
            <w:pPr>
              <w:rPr>
                <w:sz w:val="20"/>
                <w:szCs w:val="20"/>
              </w:rPr>
            </w:pPr>
            <w:r w:rsidRPr="007764B4">
              <w:rPr>
                <w:sz w:val="20"/>
                <w:szCs w:val="20"/>
              </w:rPr>
              <w:t>(b) Lack of progress towards Milestones and Targets</w:t>
            </w:r>
          </w:p>
          <w:p w14:paraId="79AA4F1A" w14:textId="77777777" w:rsidR="007868BF" w:rsidRPr="007764B4" w:rsidRDefault="007868BF" w:rsidP="00E601CA">
            <w:pPr>
              <w:rPr>
                <w:sz w:val="20"/>
                <w:szCs w:val="20"/>
              </w:rPr>
            </w:pPr>
            <w:r w:rsidRPr="007764B4">
              <w:rPr>
                <w:sz w:val="20"/>
                <w:szCs w:val="20"/>
              </w:rPr>
              <w:t>(c) Material Changes to the Project</w:t>
            </w:r>
          </w:p>
          <w:p w14:paraId="15A97F1A" w14:textId="77777777" w:rsidR="007868BF" w:rsidRPr="007764B4" w:rsidRDefault="007868BF" w:rsidP="00E601CA">
            <w:pPr>
              <w:rPr>
                <w:sz w:val="20"/>
                <w:szCs w:val="20"/>
              </w:rPr>
            </w:pPr>
            <w:r w:rsidRPr="007764B4">
              <w:rPr>
                <w:sz w:val="20"/>
                <w:szCs w:val="20"/>
              </w:rPr>
              <w:t>(d) Usual insolvency provisions</w:t>
            </w:r>
          </w:p>
        </w:tc>
      </w:tr>
      <w:tr w:rsidR="007868BF" w:rsidRPr="007764B4" w14:paraId="364E77CD" w14:textId="77777777" w:rsidTr="007764B4">
        <w:tc>
          <w:tcPr>
            <w:tcW w:w="3119" w:type="dxa"/>
          </w:tcPr>
          <w:p w14:paraId="4BC4A83C"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State Aid:</w:t>
            </w:r>
          </w:p>
        </w:tc>
        <w:tc>
          <w:tcPr>
            <w:tcW w:w="6520" w:type="dxa"/>
          </w:tcPr>
          <w:p w14:paraId="5276E57B" w14:textId="77777777" w:rsidR="007868BF" w:rsidRPr="007764B4" w:rsidRDefault="007868BF" w:rsidP="00E601CA">
            <w:pPr>
              <w:rPr>
                <w:sz w:val="20"/>
                <w:szCs w:val="20"/>
              </w:rPr>
            </w:pPr>
            <w:r w:rsidRPr="007764B4">
              <w:rPr>
                <w:sz w:val="20"/>
                <w:szCs w:val="20"/>
              </w:rPr>
              <w:t>The Recipient is responsible for ensuring that the Project is provided in accordance with State Aid Law.</w:t>
            </w:r>
          </w:p>
        </w:tc>
      </w:tr>
      <w:tr w:rsidR="007868BF" w:rsidRPr="007764B4" w14:paraId="5A3D16B4" w14:textId="77777777" w:rsidTr="007764B4">
        <w:tc>
          <w:tcPr>
            <w:tcW w:w="3119" w:type="dxa"/>
          </w:tcPr>
          <w:p w14:paraId="7B56BE53"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Monitoring:</w:t>
            </w:r>
          </w:p>
        </w:tc>
        <w:tc>
          <w:tcPr>
            <w:tcW w:w="6520" w:type="dxa"/>
          </w:tcPr>
          <w:p w14:paraId="49D06199" w14:textId="77777777" w:rsidR="007868BF" w:rsidRPr="007764B4" w:rsidRDefault="007868BF" w:rsidP="00E601CA">
            <w:pPr>
              <w:rPr>
                <w:sz w:val="20"/>
                <w:szCs w:val="20"/>
              </w:rPr>
            </w:pPr>
            <w:r w:rsidRPr="007764B4">
              <w:rPr>
                <w:sz w:val="20"/>
                <w:szCs w:val="20"/>
              </w:rPr>
              <w:t>Monitoring reports to accompany any investment claims, plus an annual monitoring return for the remaining Project Duration (10-years).</w:t>
            </w:r>
          </w:p>
        </w:tc>
      </w:tr>
      <w:tr w:rsidR="007868BF" w:rsidRPr="007764B4" w14:paraId="1E932343" w14:textId="77777777" w:rsidTr="007764B4">
        <w:tc>
          <w:tcPr>
            <w:tcW w:w="3119" w:type="dxa"/>
          </w:tcPr>
          <w:p w14:paraId="749CD559" w14:textId="77777777" w:rsidR="007868BF" w:rsidRPr="007764B4" w:rsidRDefault="007868BF" w:rsidP="00E601CA">
            <w:pPr>
              <w:rPr>
                <w:rFonts w:asciiTheme="minorHAnsi" w:hAnsiTheme="minorHAnsi" w:cstheme="minorHAnsi"/>
                <w:b/>
                <w:sz w:val="20"/>
                <w:szCs w:val="20"/>
              </w:rPr>
            </w:pPr>
            <w:r w:rsidRPr="007764B4">
              <w:rPr>
                <w:rFonts w:asciiTheme="minorHAnsi" w:hAnsiTheme="minorHAnsi" w:cstheme="minorHAnsi"/>
                <w:b/>
                <w:sz w:val="20"/>
                <w:szCs w:val="20"/>
              </w:rPr>
              <w:t>Boilerplate:</w:t>
            </w:r>
          </w:p>
        </w:tc>
        <w:tc>
          <w:tcPr>
            <w:tcW w:w="6520" w:type="dxa"/>
          </w:tcPr>
          <w:p w14:paraId="3FB1AEFE" w14:textId="77777777" w:rsidR="007868BF" w:rsidRPr="007764B4" w:rsidRDefault="007868BF" w:rsidP="00E601CA">
            <w:pPr>
              <w:rPr>
                <w:sz w:val="20"/>
                <w:szCs w:val="20"/>
              </w:rPr>
            </w:pPr>
            <w:r w:rsidRPr="007764B4">
              <w:rPr>
                <w:sz w:val="20"/>
                <w:szCs w:val="20"/>
              </w:rPr>
              <w:t>The document contains the usual provisions and protections regarding Freedom of Information, Bribery Act and Confidentiality for this form of transaction.</w:t>
            </w:r>
          </w:p>
        </w:tc>
      </w:tr>
    </w:tbl>
    <w:p w14:paraId="7EB06B13" w14:textId="77777777" w:rsidR="00FD4CBE" w:rsidRDefault="00FD4CBE" w:rsidP="00CA4CAF">
      <w:pPr>
        <w:ind w:left="426"/>
        <w:jc w:val="both"/>
      </w:pPr>
    </w:p>
    <w:sectPr w:rsidR="00FD4CBE" w:rsidSect="00C50A24">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C629" w14:textId="77777777" w:rsidR="0044689A" w:rsidRDefault="0044689A" w:rsidP="00EE092D">
      <w:pPr>
        <w:spacing w:after="0" w:line="240" w:lineRule="auto"/>
      </w:pPr>
      <w:r>
        <w:separator/>
      </w:r>
    </w:p>
  </w:endnote>
  <w:endnote w:type="continuationSeparator" w:id="0">
    <w:p w14:paraId="6F0BD4EC" w14:textId="77777777" w:rsidR="0044689A" w:rsidRDefault="0044689A" w:rsidP="00EE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690710"/>
      <w:docPartObj>
        <w:docPartGallery w:val="Page Numbers (Bottom of Page)"/>
        <w:docPartUnique/>
      </w:docPartObj>
    </w:sdtPr>
    <w:sdtEndPr/>
    <w:sdtContent>
      <w:sdt>
        <w:sdtPr>
          <w:id w:val="1728636285"/>
          <w:docPartObj>
            <w:docPartGallery w:val="Page Numbers (Top of Page)"/>
            <w:docPartUnique/>
          </w:docPartObj>
        </w:sdtPr>
        <w:sdtEndPr/>
        <w:sdtContent>
          <w:p w14:paraId="5830F0CA" w14:textId="52D5EE45" w:rsidR="00B76EAA" w:rsidRPr="00B76EAA" w:rsidRDefault="00B76EAA">
            <w:pPr>
              <w:pStyle w:val="Footer"/>
              <w:jc w:val="center"/>
            </w:pPr>
            <w:r w:rsidRPr="00B76EAA">
              <w:t xml:space="preserve">Page </w:t>
            </w:r>
            <w:r w:rsidRPr="00B76EAA">
              <w:rPr>
                <w:bCs/>
                <w:sz w:val="24"/>
                <w:szCs w:val="24"/>
              </w:rPr>
            </w:r>
            <w:r w:rsidRPr="00B76EAA">
              <w:rPr>
                <w:bCs/>
              </w:rPr>
              <w:instrText xml:space="preserve"/>
            </w:r>
            <w:r w:rsidRPr="00B76EAA">
              <w:rPr>
                <w:bCs/>
                <w:sz w:val="24"/>
                <w:szCs w:val="24"/>
              </w:rPr>
            </w:r>
            <w:r w:rsidRPr="00B76EAA">
              <w:rPr>
                <w:bCs/>
                <w:noProof/>
              </w:rPr>
              <w:t>2</w:t>
            </w:r>
            <w:r w:rsidRPr="00B76EAA">
              <w:rPr>
                <w:bCs/>
                <w:sz w:val="24"/>
                <w:szCs w:val="24"/>
              </w:rPr>
            </w:r>
            <w:r w:rsidRPr="00B76EAA">
              <w:t xml:space="preserve"> of </w:t>
            </w:r>
            <w:r w:rsidRPr="00B76EAA">
              <w:rPr>
                <w:bCs/>
                <w:sz w:val="24"/>
                <w:szCs w:val="24"/>
              </w:rPr>
            </w:r>
            <w:r w:rsidRPr="00B76EAA">
              <w:rPr>
                <w:bCs/>
              </w:rPr>
              <w:instrText xml:space="preserve"/>
            </w:r>
            <w:r w:rsidRPr="00B76EAA">
              <w:rPr>
                <w:bCs/>
                <w:sz w:val="24"/>
                <w:szCs w:val="24"/>
              </w:rPr>
            </w:r>
            <w:r w:rsidRPr="00B76EAA">
              <w:rPr>
                <w:bCs/>
                <w:noProof/>
              </w:rPr>
              <w:t>2</w:t>
            </w:r>
            <w:r w:rsidRPr="00B76EAA">
              <w:rPr>
                <w:bCs/>
                <w:sz w:val="24"/>
                <w:szCs w:val="24"/>
              </w:rPr>
            </w:r>
          </w:p>
        </w:sdtContent>
      </w:sdt>
    </w:sdtContent>
  </w:sdt>
  <w:p w14:paraId="5ABA7A01" w14:textId="77777777" w:rsidR="00B76EAA" w:rsidRPr="00B76EAA" w:rsidRDefault="00B7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A71C" w14:textId="77777777" w:rsidR="0044689A" w:rsidRDefault="0044689A" w:rsidP="00EE092D">
      <w:pPr>
        <w:spacing w:after="0" w:line="240" w:lineRule="auto"/>
      </w:pPr>
      <w:r>
        <w:separator/>
      </w:r>
    </w:p>
  </w:footnote>
  <w:footnote w:type="continuationSeparator" w:id="0">
    <w:p w14:paraId="3070931B" w14:textId="77777777" w:rsidR="0044689A" w:rsidRDefault="0044689A" w:rsidP="00EE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7FB5" w14:textId="322C54E1" w:rsidR="00FE0A4F" w:rsidRDefault="009403DE">
    <w:pPr>
      <w:pStyle w:val="Header"/>
    </w:pPr>
    <w:r>
      <w:rPr>
        <w:noProof/>
        <w:lang w:eastAsia="en-GB"/>
      </w:rPr>
      <w:drawing>
        <wp:anchor distT="0" distB="0" distL="114300" distR="114300" simplePos="0" relativeHeight="251659264" behindDoc="0" locked="0" layoutInCell="1" allowOverlap="1" wp14:anchorId="69C11BCB" wp14:editId="71031D79">
          <wp:simplePos x="0" y="0"/>
          <wp:positionH relativeFrom="page">
            <wp:posOffset>2505710</wp:posOffset>
          </wp:positionH>
          <wp:positionV relativeFrom="paragraph">
            <wp:posOffset>-154305</wp:posOffset>
          </wp:positionV>
          <wp:extent cx="2479040" cy="12338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12338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F99F" w14:textId="2D6EBBB6" w:rsidR="00270AFF" w:rsidRDefault="0027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C6C"/>
    <w:multiLevelType w:val="hybridMultilevel"/>
    <w:tmpl w:val="658628F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E77DD6"/>
    <w:multiLevelType w:val="hybridMultilevel"/>
    <w:tmpl w:val="9B28C772"/>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B3DAB"/>
    <w:multiLevelType w:val="hybridMultilevel"/>
    <w:tmpl w:val="268669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A1235"/>
    <w:multiLevelType w:val="hybridMultilevel"/>
    <w:tmpl w:val="6CE2B02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4273BE"/>
    <w:multiLevelType w:val="hybridMultilevel"/>
    <w:tmpl w:val="005E5A4A"/>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5" w15:restartNumberingAfterBreak="0">
    <w:nsid w:val="086253E8"/>
    <w:multiLevelType w:val="hybridMultilevel"/>
    <w:tmpl w:val="591A9688"/>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26A35"/>
    <w:multiLevelType w:val="hybridMultilevel"/>
    <w:tmpl w:val="65FA9A7A"/>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BE800DA"/>
    <w:multiLevelType w:val="hybridMultilevel"/>
    <w:tmpl w:val="CC56B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43057"/>
    <w:multiLevelType w:val="hybridMultilevel"/>
    <w:tmpl w:val="573E527C"/>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7FD0585"/>
    <w:multiLevelType w:val="hybridMultilevel"/>
    <w:tmpl w:val="7BB094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653B93"/>
    <w:multiLevelType w:val="hybridMultilevel"/>
    <w:tmpl w:val="BB7049E8"/>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203B2555"/>
    <w:multiLevelType w:val="hybridMultilevel"/>
    <w:tmpl w:val="F068484A"/>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E3CF5"/>
    <w:multiLevelType w:val="hybridMultilevel"/>
    <w:tmpl w:val="A9CA5A1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3F778F6"/>
    <w:multiLevelType w:val="hybridMultilevel"/>
    <w:tmpl w:val="6B18E7A0"/>
    <w:lvl w:ilvl="0" w:tplc="D63C50DA">
      <w:start w:val="1"/>
      <w:numFmt w:val="lowerLetter"/>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2FA927EF"/>
    <w:multiLevelType w:val="hybridMultilevel"/>
    <w:tmpl w:val="8B8291E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0FA1139"/>
    <w:multiLevelType w:val="hybridMultilevel"/>
    <w:tmpl w:val="EABA65DE"/>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1781154"/>
    <w:multiLevelType w:val="hybridMultilevel"/>
    <w:tmpl w:val="0F6C1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E1695"/>
    <w:multiLevelType w:val="hybridMultilevel"/>
    <w:tmpl w:val="2CD8B1CE"/>
    <w:lvl w:ilvl="0" w:tplc="8FF0654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4CC27A3"/>
    <w:multiLevelType w:val="hybridMultilevel"/>
    <w:tmpl w:val="5780588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36B633B8"/>
    <w:multiLevelType w:val="hybridMultilevel"/>
    <w:tmpl w:val="9EEA2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4BD6"/>
    <w:multiLevelType w:val="hybridMultilevel"/>
    <w:tmpl w:val="9C9A6598"/>
    <w:lvl w:ilvl="0" w:tplc="521A382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A494CB8"/>
    <w:multiLevelType w:val="hybridMultilevel"/>
    <w:tmpl w:val="C66E067E"/>
    <w:lvl w:ilvl="0" w:tplc="08090005">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2" w15:restartNumberingAfterBreak="0">
    <w:nsid w:val="3CD57578"/>
    <w:multiLevelType w:val="hybridMultilevel"/>
    <w:tmpl w:val="BC5EEF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5F258E"/>
    <w:multiLevelType w:val="hybridMultilevel"/>
    <w:tmpl w:val="1F208210"/>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24" w15:restartNumberingAfterBreak="0">
    <w:nsid w:val="3EDA6E59"/>
    <w:multiLevelType w:val="hybridMultilevel"/>
    <w:tmpl w:val="FB964D46"/>
    <w:lvl w:ilvl="0" w:tplc="DD34D6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42142"/>
    <w:multiLevelType w:val="hybridMultilevel"/>
    <w:tmpl w:val="0C42A75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41A53A0"/>
    <w:multiLevelType w:val="hybridMultilevel"/>
    <w:tmpl w:val="F20C4F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12378"/>
    <w:multiLevelType w:val="hybridMultilevel"/>
    <w:tmpl w:val="B9D6BB4C"/>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8" w15:restartNumberingAfterBreak="0">
    <w:nsid w:val="4F9010F8"/>
    <w:multiLevelType w:val="hybridMultilevel"/>
    <w:tmpl w:val="13E8ECF2"/>
    <w:lvl w:ilvl="0" w:tplc="F1D2C996">
      <w:numFmt w:val="bullet"/>
      <w:lvlText w:val=""/>
      <w:lvlJc w:val="left"/>
      <w:pPr>
        <w:ind w:left="720" w:hanging="360"/>
      </w:pPr>
      <w:rPr>
        <w:rFonts w:ascii="Symbol" w:eastAsiaTheme="minorHAnsi" w:hAnsi="Symbol" w:cs="DI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07A67"/>
    <w:multiLevelType w:val="hybridMultilevel"/>
    <w:tmpl w:val="39A4C9D2"/>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3564252"/>
    <w:multiLevelType w:val="hybridMultilevel"/>
    <w:tmpl w:val="32646C04"/>
    <w:lvl w:ilvl="0" w:tplc="F7121182">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31" w15:restartNumberingAfterBreak="0">
    <w:nsid w:val="55707BFB"/>
    <w:multiLevelType w:val="hybridMultilevel"/>
    <w:tmpl w:val="84F8A6F0"/>
    <w:lvl w:ilvl="0" w:tplc="F7121182">
      <w:start w:val="1"/>
      <w:numFmt w:val="lowerLetter"/>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15:restartNumberingAfterBreak="0">
    <w:nsid w:val="5A5D6EDF"/>
    <w:multiLevelType w:val="hybridMultilevel"/>
    <w:tmpl w:val="B16287D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C6551C2"/>
    <w:multiLevelType w:val="hybridMultilevel"/>
    <w:tmpl w:val="6B96F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53DEF"/>
    <w:multiLevelType w:val="hybridMultilevel"/>
    <w:tmpl w:val="8BF0FE0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1F121CC"/>
    <w:multiLevelType w:val="hybridMultilevel"/>
    <w:tmpl w:val="B8B0DB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2C467E"/>
    <w:multiLevelType w:val="hybridMultilevel"/>
    <w:tmpl w:val="48787562"/>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7" w15:restartNumberingAfterBreak="0">
    <w:nsid w:val="64F66DEC"/>
    <w:multiLevelType w:val="hybridMultilevel"/>
    <w:tmpl w:val="4E8CC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C968C2"/>
    <w:multiLevelType w:val="hybridMultilevel"/>
    <w:tmpl w:val="6C94E862"/>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9" w15:restartNumberingAfterBreak="0">
    <w:nsid w:val="6D6870BF"/>
    <w:multiLevelType w:val="hybridMultilevel"/>
    <w:tmpl w:val="1E82BB14"/>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0" w15:restartNumberingAfterBreak="0">
    <w:nsid w:val="732F2B33"/>
    <w:multiLevelType w:val="hybridMultilevel"/>
    <w:tmpl w:val="0158EC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32417"/>
    <w:multiLevelType w:val="hybridMultilevel"/>
    <w:tmpl w:val="8536FAF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756747D0"/>
    <w:multiLevelType w:val="hybridMultilevel"/>
    <w:tmpl w:val="0706DA40"/>
    <w:lvl w:ilvl="0" w:tplc="28BE4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57265"/>
    <w:multiLevelType w:val="hybridMultilevel"/>
    <w:tmpl w:val="D5F2224A"/>
    <w:lvl w:ilvl="0" w:tplc="F712118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97A0D58"/>
    <w:multiLevelType w:val="hybridMultilevel"/>
    <w:tmpl w:val="D020EEBC"/>
    <w:lvl w:ilvl="0" w:tplc="9D82F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C53D3C"/>
    <w:multiLevelType w:val="hybridMultilevel"/>
    <w:tmpl w:val="2F74E2FC"/>
    <w:lvl w:ilvl="0" w:tplc="C3A0644C">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num w:numId="1">
    <w:abstractNumId w:val="22"/>
  </w:num>
  <w:num w:numId="2">
    <w:abstractNumId w:val="35"/>
  </w:num>
  <w:num w:numId="3">
    <w:abstractNumId w:val="28"/>
  </w:num>
  <w:num w:numId="4">
    <w:abstractNumId w:val="26"/>
  </w:num>
  <w:num w:numId="5">
    <w:abstractNumId w:val="40"/>
  </w:num>
  <w:num w:numId="6">
    <w:abstractNumId w:val="19"/>
  </w:num>
  <w:num w:numId="7">
    <w:abstractNumId w:val="2"/>
  </w:num>
  <w:num w:numId="8">
    <w:abstractNumId w:val="16"/>
  </w:num>
  <w:num w:numId="9">
    <w:abstractNumId w:val="37"/>
  </w:num>
  <w:num w:numId="10">
    <w:abstractNumId w:val="10"/>
  </w:num>
  <w:num w:numId="11">
    <w:abstractNumId w:val="39"/>
  </w:num>
  <w:num w:numId="12">
    <w:abstractNumId w:val="27"/>
  </w:num>
  <w:num w:numId="13">
    <w:abstractNumId w:val="29"/>
  </w:num>
  <w:num w:numId="14">
    <w:abstractNumId w:val="15"/>
  </w:num>
  <w:num w:numId="15">
    <w:abstractNumId w:val="9"/>
  </w:num>
  <w:num w:numId="16">
    <w:abstractNumId w:val="18"/>
  </w:num>
  <w:num w:numId="17">
    <w:abstractNumId w:val="41"/>
  </w:num>
  <w:num w:numId="18">
    <w:abstractNumId w:val="0"/>
  </w:num>
  <w:num w:numId="19">
    <w:abstractNumId w:val="8"/>
  </w:num>
  <w:num w:numId="20">
    <w:abstractNumId w:val="32"/>
  </w:num>
  <w:num w:numId="21">
    <w:abstractNumId w:val="38"/>
  </w:num>
  <w:num w:numId="22">
    <w:abstractNumId w:val="14"/>
  </w:num>
  <w:num w:numId="23">
    <w:abstractNumId w:val="7"/>
  </w:num>
  <w:num w:numId="24">
    <w:abstractNumId w:val="3"/>
  </w:num>
  <w:num w:numId="25">
    <w:abstractNumId w:val="6"/>
  </w:num>
  <w:num w:numId="26">
    <w:abstractNumId w:val="17"/>
  </w:num>
  <w:num w:numId="27">
    <w:abstractNumId w:val="42"/>
  </w:num>
  <w:num w:numId="28">
    <w:abstractNumId w:val="36"/>
  </w:num>
  <w:num w:numId="29">
    <w:abstractNumId w:val="31"/>
  </w:num>
  <w:num w:numId="30">
    <w:abstractNumId w:val="33"/>
  </w:num>
  <w:num w:numId="31">
    <w:abstractNumId w:val="13"/>
  </w:num>
  <w:num w:numId="32">
    <w:abstractNumId w:val="43"/>
  </w:num>
  <w:num w:numId="33">
    <w:abstractNumId w:val="44"/>
  </w:num>
  <w:num w:numId="34">
    <w:abstractNumId w:val="21"/>
  </w:num>
  <w:num w:numId="35">
    <w:abstractNumId w:val="30"/>
  </w:num>
  <w:num w:numId="36">
    <w:abstractNumId w:val="45"/>
  </w:num>
  <w:num w:numId="37">
    <w:abstractNumId w:val="25"/>
  </w:num>
  <w:num w:numId="38">
    <w:abstractNumId w:val="23"/>
  </w:num>
  <w:num w:numId="39">
    <w:abstractNumId w:val="34"/>
  </w:num>
  <w:num w:numId="40">
    <w:abstractNumId w:val="12"/>
  </w:num>
  <w:num w:numId="41">
    <w:abstractNumId w:val="20"/>
  </w:num>
  <w:num w:numId="42">
    <w:abstractNumId w:val="4"/>
  </w:num>
  <w:num w:numId="43">
    <w:abstractNumId w:val="11"/>
  </w:num>
  <w:num w:numId="44">
    <w:abstractNumId w:val="24"/>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61"/>
    <w:rsid w:val="0000088D"/>
    <w:rsid w:val="0000346B"/>
    <w:rsid w:val="00003872"/>
    <w:rsid w:val="000055BF"/>
    <w:rsid w:val="00015809"/>
    <w:rsid w:val="000448D1"/>
    <w:rsid w:val="00047D22"/>
    <w:rsid w:val="0005064C"/>
    <w:rsid w:val="0005153B"/>
    <w:rsid w:val="000578B2"/>
    <w:rsid w:val="000627E8"/>
    <w:rsid w:val="00091329"/>
    <w:rsid w:val="000B281E"/>
    <w:rsid w:val="000C234A"/>
    <w:rsid w:val="000D76BF"/>
    <w:rsid w:val="000F10CE"/>
    <w:rsid w:val="000F174D"/>
    <w:rsid w:val="000F7C30"/>
    <w:rsid w:val="00122F2B"/>
    <w:rsid w:val="00133AA9"/>
    <w:rsid w:val="001366D1"/>
    <w:rsid w:val="00147308"/>
    <w:rsid w:val="00184C06"/>
    <w:rsid w:val="00190371"/>
    <w:rsid w:val="00191B67"/>
    <w:rsid w:val="0019602F"/>
    <w:rsid w:val="001A3D6C"/>
    <w:rsid w:val="001A5DD0"/>
    <w:rsid w:val="001A5EC3"/>
    <w:rsid w:val="001B03A7"/>
    <w:rsid w:val="001B7871"/>
    <w:rsid w:val="001C5D14"/>
    <w:rsid w:val="001C5FB7"/>
    <w:rsid w:val="001C6119"/>
    <w:rsid w:val="001E041C"/>
    <w:rsid w:val="001E2F2B"/>
    <w:rsid w:val="001F7416"/>
    <w:rsid w:val="002074DB"/>
    <w:rsid w:val="00213192"/>
    <w:rsid w:val="002474C4"/>
    <w:rsid w:val="00266EFD"/>
    <w:rsid w:val="00267988"/>
    <w:rsid w:val="00270AFF"/>
    <w:rsid w:val="00275875"/>
    <w:rsid w:val="0029666D"/>
    <w:rsid w:val="002A0E93"/>
    <w:rsid w:val="002A7D3C"/>
    <w:rsid w:val="002B61C2"/>
    <w:rsid w:val="002D6429"/>
    <w:rsid w:val="002D7E0B"/>
    <w:rsid w:val="002F18A1"/>
    <w:rsid w:val="002F6DD4"/>
    <w:rsid w:val="002F72F0"/>
    <w:rsid w:val="00316783"/>
    <w:rsid w:val="00347FB8"/>
    <w:rsid w:val="00355727"/>
    <w:rsid w:val="00387AD7"/>
    <w:rsid w:val="00396B17"/>
    <w:rsid w:val="003A6BA6"/>
    <w:rsid w:val="003C0B57"/>
    <w:rsid w:val="003C5CC1"/>
    <w:rsid w:val="003C7534"/>
    <w:rsid w:val="003D1A87"/>
    <w:rsid w:val="003E22A6"/>
    <w:rsid w:val="003E499D"/>
    <w:rsid w:val="003E790D"/>
    <w:rsid w:val="004025D0"/>
    <w:rsid w:val="00402AE1"/>
    <w:rsid w:val="0041686D"/>
    <w:rsid w:val="00422D79"/>
    <w:rsid w:val="00434561"/>
    <w:rsid w:val="0044689A"/>
    <w:rsid w:val="00453A9D"/>
    <w:rsid w:val="00484DF4"/>
    <w:rsid w:val="00490E88"/>
    <w:rsid w:val="0049359D"/>
    <w:rsid w:val="004A24DC"/>
    <w:rsid w:val="004C0486"/>
    <w:rsid w:val="004C28DD"/>
    <w:rsid w:val="004C3F43"/>
    <w:rsid w:val="004D7695"/>
    <w:rsid w:val="00502FD6"/>
    <w:rsid w:val="00540BF1"/>
    <w:rsid w:val="00553CBE"/>
    <w:rsid w:val="0055696F"/>
    <w:rsid w:val="0056240C"/>
    <w:rsid w:val="00562DA2"/>
    <w:rsid w:val="00563455"/>
    <w:rsid w:val="005656F3"/>
    <w:rsid w:val="00574A37"/>
    <w:rsid w:val="005758C5"/>
    <w:rsid w:val="0057625F"/>
    <w:rsid w:val="0058398E"/>
    <w:rsid w:val="005C03DD"/>
    <w:rsid w:val="005C1A13"/>
    <w:rsid w:val="005C38A7"/>
    <w:rsid w:val="005D683C"/>
    <w:rsid w:val="005E1AC8"/>
    <w:rsid w:val="005E48D3"/>
    <w:rsid w:val="005E4E08"/>
    <w:rsid w:val="005F2E4C"/>
    <w:rsid w:val="005F3A0F"/>
    <w:rsid w:val="005F4AB6"/>
    <w:rsid w:val="006011F8"/>
    <w:rsid w:val="006015E4"/>
    <w:rsid w:val="006045EA"/>
    <w:rsid w:val="006170AA"/>
    <w:rsid w:val="00617E67"/>
    <w:rsid w:val="00625659"/>
    <w:rsid w:val="0062789E"/>
    <w:rsid w:val="006412D2"/>
    <w:rsid w:val="00655C4E"/>
    <w:rsid w:val="006576DA"/>
    <w:rsid w:val="00660809"/>
    <w:rsid w:val="00664106"/>
    <w:rsid w:val="006908E3"/>
    <w:rsid w:val="00694D4E"/>
    <w:rsid w:val="006A0500"/>
    <w:rsid w:val="006B65AE"/>
    <w:rsid w:val="006C1D42"/>
    <w:rsid w:val="00700EB9"/>
    <w:rsid w:val="00730EC3"/>
    <w:rsid w:val="00731569"/>
    <w:rsid w:val="00751FE4"/>
    <w:rsid w:val="00770D47"/>
    <w:rsid w:val="00774AC6"/>
    <w:rsid w:val="007764B4"/>
    <w:rsid w:val="00782638"/>
    <w:rsid w:val="007868BF"/>
    <w:rsid w:val="00790C57"/>
    <w:rsid w:val="007961BE"/>
    <w:rsid w:val="007B3C29"/>
    <w:rsid w:val="007B4EB3"/>
    <w:rsid w:val="007B6959"/>
    <w:rsid w:val="007B6E80"/>
    <w:rsid w:val="007D13D0"/>
    <w:rsid w:val="00805D3D"/>
    <w:rsid w:val="008106E3"/>
    <w:rsid w:val="008122E7"/>
    <w:rsid w:val="00817110"/>
    <w:rsid w:val="00836678"/>
    <w:rsid w:val="008431FF"/>
    <w:rsid w:val="0084524D"/>
    <w:rsid w:val="00853D08"/>
    <w:rsid w:val="00855CDE"/>
    <w:rsid w:val="008725FE"/>
    <w:rsid w:val="0088400A"/>
    <w:rsid w:val="008907E6"/>
    <w:rsid w:val="00894D73"/>
    <w:rsid w:val="008B1E2A"/>
    <w:rsid w:val="008B7E88"/>
    <w:rsid w:val="008C7636"/>
    <w:rsid w:val="008C770C"/>
    <w:rsid w:val="008D04AA"/>
    <w:rsid w:val="008E40B0"/>
    <w:rsid w:val="00906B00"/>
    <w:rsid w:val="00910DD6"/>
    <w:rsid w:val="009127A0"/>
    <w:rsid w:val="00913DC8"/>
    <w:rsid w:val="0092242A"/>
    <w:rsid w:val="009253FD"/>
    <w:rsid w:val="009403DE"/>
    <w:rsid w:val="00945167"/>
    <w:rsid w:val="00947600"/>
    <w:rsid w:val="00953960"/>
    <w:rsid w:val="0095552F"/>
    <w:rsid w:val="009724EC"/>
    <w:rsid w:val="00974BA6"/>
    <w:rsid w:val="009759A3"/>
    <w:rsid w:val="009805F6"/>
    <w:rsid w:val="00981E24"/>
    <w:rsid w:val="00983512"/>
    <w:rsid w:val="0098393C"/>
    <w:rsid w:val="00996D05"/>
    <w:rsid w:val="009A13AD"/>
    <w:rsid w:val="009B65CB"/>
    <w:rsid w:val="009D0203"/>
    <w:rsid w:val="009D3902"/>
    <w:rsid w:val="009E3561"/>
    <w:rsid w:val="009F62D5"/>
    <w:rsid w:val="009F6B1C"/>
    <w:rsid w:val="00A078B9"/>
    <w:rsid w:val="00A07B4E"/>
    <w:rsid w:val="00A13022"/>
    <w:rsid w:val="00A17E73"/>
    <w:rsid w:val="00A439E2"/>
    <w:rsid w:val="00A45061"/>
    <w:rsid w:val="00A46DFD"/>
    <w:rsid w:val="00A46ED4"/>
    <w:rsid w:val="00A5227B"/>
    <w:rsid w:val="00A74FAE"/>
    <w:rsid w:val="00A758D0"/>
    <w:rsid w:val="00A816FE"/>
    <w:rsid w:val="00A96874"/>
    <w:rsid w:val="00A97E6C"/>
    <w:rsid w:val="00AB7084"/>
    <w:rsid w:val="00AB7316"/>
    <w:rsid w:val="00AB7904"/>
    <w:rsid w:val="00AE246F"/>
    <w:rsid w:val="00B07C7B"/>
    <w:rsid w:val="00B2602F"/>
    <w:rsid w:val="00B37DB6"/>
    <w:rsid w:val="00B50EE4"/>
    <w:rsid w:val="00B51B2D"/>
    <w:rsid w:val="00B76EAA"/>
    <w:rsid w:val="00B93606"/>
    <w:rsid w:val="00BC2327"/>
    <w:rsid w:val="00BC24E1"/>
    <w:rsid w:val="00BC2A75"/>
    <w:rsid w:val="00BD019F"/>
    <w:rsid w:val="00BE53AC"/>
    <w:rsid w:val="00C12664"/>
    <w:rsid w:val="00C1449D"/>
    <w:rsid w:val="00C14C63"/>
    <w:rsid w:val="00C3770D"/>
    <w:rsid w:val="00C463CC"/>
    <w:rsid w:val="00C50A24"/>
    <w:rsid w:val="00C67FA1"/>
    <w:rsid w:val="00C70BC2"/>
    <w:rsid w:val="00C8100A"/>
    <w:rsid w:val="00C81664"/>
    <w:rsid w:val="00CA2C3C"/>
    <w:rsid w:val="00CA4CAF"/>
    <w:rsid w:val="00CB4677"/>
    <w:rsid w:val="00CB5C2F"/>
    <w:rsid w:val="00CC209F"/>
    <w:rsid w:val="00CC2D53"/>
    <w:rsid w:val="00CE46F5"/>
    <w:rsid w:val="00D02B53"/>
    <w:rsid w:val="00D30EF5"/>
    <w:rsid w:val="00D32C69"/>
    <w:rsid w:val="00D50D71"/>
    <w:rsid w:val="00D720FA"/>
    <w:rsid w:val="00D82618"/>
    <w:rsid w:val="00D92FEA"/>
    <w:rsid w:val="00D937DD"/>
    <w:rsid w:val="00DA2454"/>
    <w:rsid w:val="00DA7BE4"/>
    <w:rsid w:val="00DD11F7"/>
    <w:rsid w:val="00DE0433"/>
    <w:rsid w:val="00DE5E50"/>
    <w:rsid w:val="00DE6D82"/>
    <w:rsid w:val="00DF08C5"/>
    <w:rsid w:val="00DF562A"/>
    <w:rsid w:val="00E1716C"/>
    <w:rsid w:val="00E277BB"/>
    <w:rsid w:val="00E54D7B"/>
    <w:rsid w:val="00E57293"/>
    <w:rsid w:val="00E86092"/>
    <w:rsid w:val="00EB66E0"/>
    <w:rsid w:val="00EC246D"/>
    <w:rsid w:val="00ED49DB"/>
    <w:rsid w:val="00ED4A3C"/>
    <w:rsid w:val="00ED565F"/>
    <w:rsid w:val="00EE092D"/>
    <w:rsid w:val="00EE5F90"/>
    <w:rsid w:val="00EE6F57"/>
    <w:rsid w:val="00EE7A37"/>
    <w:rsid w:val="00EF125A"/>
    <w:rsid w:val="00F073C7"/>
    <w:rsid w:val="00F156F1"/>
    <w:rsid w:val="00F32026"/>
    <w:rsid w:val="00F32D20"/>
    <w:rsid w:val="00F6379E"/>
    <w:rsid w:val="00F67F78"/>
    <w:rsid w:val="00F776C6"/>
    <w:rsid w:val="00F90A72"/>
    <w:rsid w:val="00FA4473"/>
    <w:rsid w:val="00FC33D0"/>
    <w:rsid w:val="00FD4CBE"/>
    <w:rsid w:val="00FE0A4F"/>
    <w:rsid w:val="00FE0BB1"/>
    <w:rsid w:val="00FE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DC467"/>
  <w15:docId w15:val="{6865CB03-2606-4CF9-A163-FA02AEC8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73"/>
    <w:rPr>
      <w:rFonts w:asciiTheme="majorHAnsi" w:hAnsiTheme="majorHAnsi"/>
    </w:rPr>
  </w:style>
  <w:style w:type="paragraph" w:styleId="Heading1">
    <w:name w:val="heading 1"/>
    <w:basedOn w:val="Normal"/>
    <w:next w:val="Normal"/>
    <w:link w:val="Heading1Char"/>
    <w:uiPriority w:val="9"/>
    <w:qFormat/>
    <w:rsid w:val="008725FE"/>
    <w:pPr>
      <w:keepNext/>
      <w:keepLines/>
      <w:spacing w:before="240" w:after="12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872"/>
    <w:rPr>
      <w:color w:val="0563C1" w:themeColor="hyperlink"/>
      <w:u w:val="single"/>
    </w:rPr>
  </w:style>
  <w:style w:type="table" w:styleId="TableGrid">
    <w:name w:val="Table Grid"/>
    <w:basedOn w:val="TableNormal"/>
    <w:uiPriority w:val="39"/>
    <w:rsid w:val="0000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D05"/>
    <w:pPr>
      <w:ind w:left="720"/>
      <w:contextualSpacing/>
    </w:pPr>
  </w:style>
  <w:style w:type="character" w:styleId="PlaceholderText">
    <w:name w:val="Placeholder Text"/>
    <w:basedOn w:val="DefaultParagraphFont"/>
    <w:uiPriority w:val="99"/>
    <w:semiHidden/>
    <w:rsid w:val="001A5EC3"/>
    <w:rPr>
      <w:color w:val="808080"/>
    </w:rPr>
  </w:style>
  <w:style w:type="paragraph" w:styleId="Revision">
    <w:name w:val="Revision"/>
    <w:hidden/>
    <w:uiPriority w:val="99"/>
    <w:semiHidden/>
    <w:rsid w:val="009B65CB"/>
    <w:pPr>
      <w:spacing w:after="0" w:line="240" w:lineRule="auto"/>
    </w:pPr>
  </w:style>
  <w:style w:type="paragraph" w:styleId="BalloonText">
    <w:name w:val="Balloon Text"/>
    <w:basedOn w:val="Normal"/>
    <w:link w:val="BalloonTextChar"/>
    <w:uiPriority w:val="99"/>
    <w:semiHidden/>
    <w:unhideWhenUsed/>
    <w:rsid w:val="009B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CB"/>
    <w:rPr>
      <w:rFonts w:ascii="Segoe UI" w:hAnsi="Segoe UI" w:cs="Segoe UI"/>
      <w:sz w:val="18"/>
      <w:szCs w:val="18"/>
    </w:rPr>
  </w:style>
  <w:style w:type="character" w:styleId="CommentReference">
    <w:name w:val="annotation reference"/>
    <w:basedOn w:val="DefaultParagraphFont"/>
    <w:uiPriority w:val="99"/>
    <w:semiHidden/>
    <w:unhideWhenUsed/>
    <w:rsid w:val="00A816FE"/>
    <w:rPr>
      <w:sz w:val="16"/>
      <w:szCs w:val="16"/>
    </w:rPr>
  </w:style>
  <w:style w:type="paragraph" w:styleId="CommentText">
    <w:name w:val="annotation text"/>
    <w:basedOn w:val="Normal"/>
    <w:link w:val="CommentTextChar"/>
    <w:uiPriority w:val="99"/>
    <w:unhideWhenUsed/>
    <w:rsid w:val="00A816FE"/>
    <w:pPr>
      <w:spacing w:line="240" w:lineRule="auto"/>
    </w:pPr>
    <w:rPr>
      <w:sz w:val="20"/>
      <w:szCs w:val="20"/>
    </w:rPr>
  </w:style>
  <w:style w:type="character" w:customStyle="1" w:styleId="CommentTextChar">
    <w:name w:val="Comment Text Char"/>
    <w:basedOn w:val="DefaultParagraphFont"/>
    <w:link w:val="CommentText"/>
    <w:uiPriority w:val="99"/>
    <w:rsid w:val="00A816FE"/>
    <w:rPr>
      <w:sz w:val="20"/>
      <w:szCs w:val="20"/>
    </w:rPr>
  </w:style>
  <w:style w:type="paragraph" w:styleId="CommentSubject">
    <w:name w:val="annotation subject"/>
    <w:basedOn w:val="CommentText"/>
    <w:next w:val="CommentText"/>
    <w:link w:val="CommentSubjectChar"/>
    <w:uiPriority w:val="99"/>
    <w:semiHidden/>
    <w:unhideWhenUsed/>
    <w:rsid w:val="00A816FE"/>
    <w:rPr>
      <w:b/>
      <w:bCs/>
    </w:rPr>
  </w:style>
  <w:style w:type="character" w:customStyle="1" w:styleId="CommentSubjectChar">
    <w:name w:val="Comment Subject Char"/>
    <w:basedOn w:val="CommentTextChar"/>
    <w:link w:val="CommentSubject"/>
    <w:uiPriority w:val="99"/>
    <w:semiHidden/>
    <w:rsid w:val="00A816FE"/>
    <w:rPr>
      <w:b/>
      <w:bCs/>
      <w:sz w:val="20"/>
      <w:szCs w:val="20"/>
    </w:rPr>
  </w:style>
  <w:style w:type="paragraph" w:customStyle="1" w:styleId="Default">
    <w:name w:val="Default"/>
    <w:rsid w:val="0095552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E0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92D"/>
    <w:rPr>
      <w:sz w:val="20"/>
      <w:szCs w:val="20"/>
    </w:rPr>
  </w:style>
  <w:style w:type="character" w:styleId="FootnoteReference">
    <w:name w:val="footnote reference"/>
    <w:basedOn w:val="DefaultParagraphFont"/>
    <w:uiPriority w:val="99"/>
    <w:semiHidden/>
    <w:unhideWhenUsed/>
    <w:rsid w:val="00EE092D"/>
    <w:rPr>
      <w:vertAlign w:val="superscript"/>
    </w:rPr>
  </w:style>
  <w:style w:type="paragraph" w:styleId="Header">
    <w:name w:val="header"/>
    <w:basedOn w:val="Normal"/>
    <w:link w:val="HeaderChar"/>
    <w:uiPriority w:val="99"/>
    <w:unhideWhenUsed/>
    <w:rsid w:val="00ED5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5F"/>
  </w:style>
  <w:style w:type="paragraph" w:styleId="Footer">
    <w:name w:val="footer"/>
    <w:basedOn w:val="Normal"/>
    <w:link w:val="FooterChar"/>
    <w:uiPriority w:val="99"/>
    <w:unhideWhenUsed/>
    <w:rsid w:val="00ED5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5F"/>
  </w:style>
  <w:style w:type="character" w:styleId="UnresolvedMention">
    <w:name w:val="Unresolved Mention"/>
    <w:basedOn w:val="DefaultParagraphFont"/>
    <w:uiPriority w:val="99"/>
    <w:semiHidden/>
    <w:unhideWhenUsed/>
    <w:rsid w:val="00C50A24"/>
    <w:rPr>
      <w:color w:val="808080"/>
      <w:shd w:val="clear" w:color="auto" w:fill="E6E6E6"/>
    </w:rPr>
  </w:style>
  <w:style w:type="character" w:customStyle="1" w:styleId="Heading1Char">
    <w:name w:val="Heading 1 Char"/>
    <w:basedOn w:val="DefaultParagraphFont"/>
    <w:link w:val="Heading1"/>
    <w:uiPriority w:val="9"/>
    <w:rsid w:val="008725FE"/>
    <w:rPr>
      <w:rFonts w:ascii="Calibri" w:eastAsiaTheme="majorEastAsia" w:hAnsi="Calibri" w:cstheme="majorBidi"/>
      <w:b/>
      <w:szCs w:val="32"/>
    </w:rPr>
  </w:style>
  <w:style w:type="table" w:customStyle="1" w:styleId="TableGrid1">
    <w:name w:val="Table Grid1"/>
    <w:basedOn w:val="TableNormal"/>
    <w:next w:val="TableGrid"/>
    <w:uiPriority w:val="39"/>
    <w:rsid w:val="0027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A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DCA4-2BE6-4908-ACED-9C35C67F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12525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Pretty/GBR/DTZ</dc:creator>
  <cp:lastModifiedBy>Ian Brooks</cp:lastModifiedBy>
  <cp:revision>2</cp:revision>
  <cp:lastPrinted>2019-03-15T17:31:00Z</cp:lastPrinted>
  <dcterms:created xsi:type="dcterms:W3CDTF">2020-03-12T11:06:00Z</dcterms:created>
  <dcterms:modified xsi:type="dcterms:W3CDTF">2020-03-12T11:06:00Z</dcterms:modified>
</cp:coreProperties>
</file>