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29" w:rsidRPr="00233FFD" w:rsidRDefault="00981129" w:rsidP="005D16FA">
      <w:pPr>
        <w:pStyle w:val="Heading5"/>
        <w:rPr>
          <w:rFonts w:asciiTheme="minorHAnsi" w:hAnsiTheme="minorHAnsi" w:cstheme="minorHAnsi"/>
          <w:sz w:val="24"/>
          <w:u w:val="none"/>
        </w:rPr>
      </w:pPr>
      <w:bookmarkStart w:id="0" w:name="_Hlk501016721"/>
      <w:bookmarkEnd w:id="0"/>
      <w:r w:rsidRPr="00233FFD">
        <w:rPr>
          <w:rFonts w:asciiTheme="minorHAnsi" w:hAnsiTheme="minorHAnsi" w:cstheme="minorHAnsi"/>
          <w:noProof/>
          <w:sz w:val="24"/>
          <w:lang w:eastAsia="en-GB"/>
        </w:rPr>
        <w:drawing>
          <wp:anchor distT="0" distB="0" distL="114300" distR="114300" simplePos="0" relativeHeight="251657216" behindDoc="0" locked="0" layoutInCell="1" allowOverlap="1" wp14:anchorId="34F0C262" wp14:editId="135E0BFC">
            <wp:simplePos x="0" y="0"/>
            <wp:positionH relativeFrom="margin">
              <wp:posOffset>2374900</wp:posOffset>
            </wp:positionH>
            <wp:positionV relativeFrom="margin">
              <wp:posOffset>-561975</wp:posOffset>
            </wp:positionV>
            <wp:extent cx="1096010" cy="108267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010" cy="108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r w:rsidRPr="00233FFD">
        <w:rPr>
          <w:rFonts w:asciiTheme="minorHAnsi" w:hAnsiTheme="minorHAnsi" w:cstheme="minorHAnsi"/>
          <w:sz w:val="24"/>
          <w:u w:val="none"/>
        </w:rPr>
        <w:t>Cheshire &amp; Warrington Local Enterprise Partnership</w:t>
      </w:r>
    </w:p>
    <w:p w:rsidR="00981129" w:rsidRPr="00233FFD" w:rsidRDefault="00981129" w:rsidP="005D16FA">
      <w:pPr>
        <w:jc w:val="center"/>
        <w:rPr>
          <w:rFonts w:cstheme="minorHAnsi"/>
          <w:b/>
          <w:bCs/>
          <w:sz w:val="24"/>
          <w:szCs w:val="24"/>
        </w:rPr>
      </w:pPr>
      <w:r w:rsidRPr="00233FFD">
        <w:rPr>
          <w:rFonts w:cstheme="minorHAnsi"/>
          <w:b/>
          <w:bCs/>
          <w:sz w:val="24"/>
          <w:szCs w:val="24"/>
        </w:rPr>
        <w:t>Performance and Investment Committee</w:t>
      </w:r>
    </w:p>
    <w:p w:rsidR="00981129" w:rsidRPr="00233FFD" w:rsidRDefault="00981129" w:rsidP="00153C0D">
      <w:pPr>
        <w:jc w:val="both"/>
        <w:rPr>
          <w:rFonts w:cstheme="minorHAnsi"/>
          <w:sz w:val="24"/>
          <w:szCs w:val="24"/>
        </w:rPr>
      </w:pPr>
    </w:p>
    <w:tbl>
      <w:tblPr>
        <w:tblW w:w="9096"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C0C0C0"/>
        <w:tblLook w:val="0000" w:firstRow="0" w:lastRow="0" w:firstColumn="0" w:lastColumn="0" w:noHBand="0" w:noVBand="0"/>
      </w:tblPr>
      <w:tblGrid>
        <w:gridCol w:w="5138"/>
        <w:gridCol w:w="3958"/>
      </w:tblGrid>
      <w:tr w:rsidR="00207415" w:rsidRPr="00233FFD" w:rsidTr="00233FFD">
        <w:trPr>
          <w:trHeight w:val="449"/>
          <w:jc w:val="center"/>
        </w:trPr>
        <w:tc>
          <w:tcPr>
            <w:tcW w:w="5138" w:type="dxa"/>
            <w:shd w:val="clear" w:color="auto" w:fill="C0C0C0"/>
          </w:tcPr>
          <w:p w:rsidR="00207415" w:rsidRPr="00233FFD" w:rsidRDefault="00207415" w:rsidP="00153C0D">
            <w:pPr>
              <w:jc w:val="both"/>
              <w:rPr>
                <w:rFonts w:cstheme="minorHAnsi"/>
                <w:b/>
                <w:sz w:val="24"/>
                <w:szCs w:val="24"/>
              </w:rPr>
            </w:pPr>
            <w:r w:rsidRPr="00233FFD">
              <w:rPr>
                <w:rFonts w:cstheme="minorHAnsi"/>
                <w:b/>
                <w:sz w:val="24"/>
                <w:szCs w:val="24"/>
              </w:rPr>
              <w:t xml:space="preserve">Title: Programme Manager Update Report             </w:t>
            </w:r>
          </w:p>
        </w:tc>
        <w:tc>
          <w:tcPr>
            <w:tcW w:w="3958" w:type="dxa"/>
            <w:shd w:val="clear" w:color="auto" w:fill="C0C0C0"/>
          </w:tcPr>
          <w:p w:rsidR="00207415" w:rsidRPr="00233FFD" w:rsidRDefault="00207415" w:rsidP="00207415">
            <w:pPr>
              <w:rPr>
                <w:rFonts w:cstheme="minorHAnsi"/>
                <w:b/>
                <w:sz w:val="24"/>
                <w:szCs w:val="24"/>
              </w:rPr>
            </w:pPr>
            <w:r w:rsidRPr="00233FFD">
              <w:rPr>
                <w:rFonts w:cstheme="minorHAnsi"/>
                <w:b/>
                <w:sz w:val="24"/>
                <w:szCs w:val="24"/>
              </w:rPr>
              <w:t>Agenda item:</w:t>
            </w:r>
            <w:r w:rsidR="00853529">
              <w:rPr>
                <w:rFonts w:cstheme="minorHAnsi"/>
                <w:b/>
                <w:sz w:val="24"/>
                <w:szCs w:val="24"/>
              </w:rPr>
              <w:t>6</w:t>
            </w:r>
          </w:p>
        </w:tc>
      </w:tr>
      <w:tr w:rsidR="00207415" w:rsidRPr="00233FFD" w:rsidTr="00233FFD">
        <w:trPr>
          <w:trHeight w:val="558"/>
          <w:jc w:val="center"/>
        </w:trPr>
        <w:tc>
          <w:tcPr>
            <w:tcW w:w="5138" w:type="dxa"/>
            <w:shd w:val="clear" w:color="auto" w:fill="C0C0C0"/>
          </w:tcPr>
          <w:p w:rsidR="00207415" w:rsidRPr="00233FFD" w:rsidRDefault="00233FFD" w:rsidP="00153C0D">
            <w:pPr>
              <w:jc w:val="both"/>
              <w:rPr>
                <w:rFonts w:cstheme="minorHAnsi"/>
                <w:b/>
                <w:sz w:val="24"/>
                <w:szCs w:val="24"/>
              </w:rPr>
            </w:pPr>
            <w:r>
              <w:rPr>
                <w:rFonts w:cstheme="minorHAnsi"/>
                <w:b/>
                <w:sz w:val="24"/>
                <w:szCs w:val="24"/>
              </w:rPr>
              <w:t>Prepared by: Rachel Brosnahan</w:t>
            </w:r>
          </w:p>
        </w:tc>
        <w:tc>
          <w:tcPr>
            <w:tcW w:w="3958" w:type="dxa"/>
            <w:shd w:val="clear" w:color="auto" w:fill="C0C0C0"/>
          </w:tcPr>
          <w:p w:rsidR="00207415" w:rsidRPr="00233FFD" w:rsidRDefault="00C02811" w:rsidP="00207415">
            <w:pPr>
              <w:rPr>
                <w:rFonts w:cstheme="minorHAnsi"/>
                <w:b/>
                <w:sz w:val="24"/>
                <w:szCs w:val="24"/>
              </w:rPr>
            </w:pPr>
            <w:r>
              <w:rPr>
                <w:rFonts w:cstheme="minorHAnsi"/>
                <w:b/>
                <w:sz w:val="24"/>
                <w:szCs w:val="24"/>
              </w:rPr>
              <w:t>Date of Report: 2</w:t>
            </w:r>
            <w:r w:rsidR="00A731C7">
              <w:rPr>
                <w:rFonts w:cstheme="minorHAnsi"/>
                <w:b/>
                <w:sz w:val="24"/>
                <w:szCs w:val="24"/>
              </w:rPr>
              <w:t>1</w:t>
            </w:r>
            <w:r w:rsidR="00A731C7" w:rsidRPr="00A731C7">
              <w:rPr>
                <w:rFonts w:cstheme="minorHAnsi"/>
                <w:b/>
                <w:sz w:val="24"/>
                <w:szCs w:val="24"/>
                <w:vertAlign w:val="superscript"/>
              </w:rPr>
              <w:t>st</w:t>
            </w:r>
            <w:r w:rsidR="00A731C7">
              <w:rPr>
                <w:rFonts w:cstheme="minorHAnsi"/>
                <w:b/>
                <w:sz w:val="24"/>
                <w:szCs w:val="24"/>
              </w:rPr>
              <w:t xml:space="preserve"> </w:t>
            </w:r>
            <w:r w:rsidR="00174781">
              <w:rPr>
                <w:rFonts w:cstheme="minorHAnsi"/>
                <w:b/>
                <w:sz w:val="24"/>
                <w:szCs w:val="24"/>
              </w:rPr>
              <w:t>March</w:t>
            </w:r>
            <w:r>
              <w:rPr>
                <w:rFonts w:cstheme="minorHAnsi"/>
                <w:b/>
                <w:sz w:val="24"/>
                <w:szCs w:val="24"/>
              </w:rPr>
              <w:t xml:space="preserve"> 2018</w:t>
            </w:r>
          </w:p>
        </w:tc>
      </w:tr>
    </w:tbl>
    <w:p w:rsidR="00F706D5" w:rsidRPr="00233FFD" w:rsidRDefault="00F706D5" w:rsidP="00153C0D">
      <w:pPr>
        <w:jc w:val="both"/>
        <w:rPr>
          <w:rFonts w:cstheme="minorHAnsi"/>
          <w:sz w:val="24"/>
          <w:szCs w:val="24"/>
        </w:rPr>
      </w:pPr>
    </w:p>
    <w:p w:rsidR="00FD135A" w:rsidRDefault="00207415" w:rsidP="00153C0D">
      <w:pPr>
        <w:pStyle w:val="ListParagraph"/>
        <w:numPr>
          <w:ilvl w:val="0"/>
          <w:numId w:val="1"/>
        </w:numPr>
        <w:jc w:val="both"/>
        <w:rPr>
          <w:rFonts w:cstheme="minorHAnsi"/>
          <w:b/>
          <w:sz w:val="24"/>
          <w:szCs w:val="24"/>
        </w:rPr>
      </w:pPr>
      <w:r w:rsidRPr="00233FFD">
        <w:rPr>
          <w:rFonts w:cstheme="minorHAnsi"/>
          <w:b/>
          <w:sz w:val="24"/>
          <w:szCs w:val="24"/>
        </w:rPr>
        <w:t xml:space="preserve">Executive </w:t>
      </w:r>
      <w:r w:rsidR="00BC562B" w:rsidRPr="00233FFD">
        <w:rPr>
          <w:rFonts w:cstheme="minorHAnsi"/>
          <w:b/>
          <w:sz w:val="24"/>
          <w:szCs w:val="24"/>
        </w:rPr>
        <w:t>Summary</w:t>
      </w:r>
    </w:p>
    <w:p w:rsidR="00DB3E2A" w:rsidRDefault="00DB3E2A" w:rsidP="00DB3E2A">
      <w:pPr>
        <w:jc w:val="both"/>
        <w:rPr>
          <w:rFonts w:cstheme="minorHAnsi"/>
        </w:rPr>
      </w:pPr>
      <w:r w:rsidRPr="002B33FD">
        <w:rPr>
          <w:rFonts w:cstheme="minorHAnsi"/>
        </w:rPr>
        <w:t xml:space="preserve">As we move to the end of the final quarter of the </w:t>
      </w:r>
      <w:proofErr w:type="gramStart"/>
      <w:r w:rsidRPr="002B33FD">
        <w:rPr>
          <w:rFonts w:cstheme="minorHAnsi"/>
        </w:rPr>
        <w:t>financial year</w:t>
      </w:r>
      <w:proofErr w:type="gramEnd"/>
      <w:r w:rsidRPr="002B33FD">
        <w:rPr>
          <w:rFonts w:cstheme="minorHAnsi"/>
        </w:rPr>
        <w:t xml:space="preserve">, the LGF programme is looking in good shape.  Spend is not as high as we expected just three months </w:t>
      </w:r>
      <w:proofErr w:type="gramStart"/>
      <w:r w:rsidRPr="002B33FD">
        <w:rPr>
          <w:rFonts w:cstheme="minorHAnsi"/>
        </w:rPr>
        <w:t>ago, but</w:t>
      </w:r>
      <w:proofErr w:type="gramEnd"/>
      <w:r w:rsidRPr="002B33FD">
        <w:rPr>
          <w:rFonts w:cstheme="minorHAnsi"/>
        </w:rPr>
        <w:t xml:space="preserve"> should exceed £16m for the year.  The outputs achieved are slowly starting to increase and the contracted outputs comfortably exceed our BEIS targets.</w:t>
      </w:r>
    </w:p>
    <w:p w:rsidR="002B33FD" w:rsidRDefault="002B33FD" w:rsidP="00DB3E2A">
      <w:pPr>
        <w:jc w:val="both"/>
        <w:rPr>
          <w:rFonts w:cstheme="minorHAnsi"/>
        </w:rPr>
      </w:pPr>
      <w:r>
        <w:rPr>
          <w:rFonts w:cstheme="minorHAnsi"/>
        </w:rPr>
        <w:t xml:space="preserve">Moving into 18/19 and the </w:t>
      </w:r>
      <w:proofErr w:type="spellStart"/>
      <w:r>
        <w:rPr>
          <w:rFonts w:cstheme="minorHAnsi"/>
        </w:rPr>
        <w:t>mid year</w:t>
      </w:r>
      <w:proofErr w:type="spellEnd"/>
      <w:r>
        <w:rPr>
          <w:rFonts w:cstheme="minorHAnsi"/>
        </w:rPr>
        <w:t xml:space="preserve"> of the programme, we expect all the projects to have been issued conditional offers by the end of the year and expect spend to increase significantly over the next two years.</w:t>
      </w:r>
    </w:p>
    <w:p w:rsidR="002B33FD" w:rsidRPr="002B33FD" w:rsidRDefault="002B33FD" w:rsidP="00DB3E2A">
      <w:pPr>
        <w:jc w:val="both"/>
        <w:rPr>
          <w:rFonts w:cstheme="minorHAnsi"/>
        </w:rPr>
      </w:pPr>
      <w:r>
        <w:rPr>
          <w:rFonts w:cstheme="minorHAnsi"/>
        </w:rPr>
        <w:t>We should now start to look at the impact of the schemes and consider carrying out mid-term evaluation of the programme and evaluations of the projects completed.</w:t>
      </w:r>
      <w:bookmarkStart w:id="1" w:name="_GoBack"/>
      <w:bookmarkEnd w:id="1"/>
    </w:p>
    <w:p w:rsidR="00996C8C" w:rsidRDefault="00996C8C" w:rsidP="00996C8C">
      <w:pPr>
        <w:pStyle w:val="ListParagraph"/>
        <w:ind w:left="792"/>
        <w:jc w:val="both"/>
        <w:rPr>
          <w:rFonts w:cs="Calibri"/>
        </w:rPr>
      </w:pPr>
    </w:p>
    <w:p w:rsidR="00996C8C" w:rsidRDefault="00996C8C" w:rsidP="00996C8C">
      <w:pPr>
        <w:pStyle w:val="ListParagraph"/>
        <w:numPr>
          <w:ilvl w:val="0"/>
          <w:numId w:val="21"/>
        </w:numPr>
        <w:spacing w:line="254" w:lineRule="auto"/>
        <w:jc w:val="both"/>
        <w:rPr>
          <w:rFonts w:cs="Calibri"/>
          <w:b/>
        </w:rPr>
      </w:pPr>
      <w:r>
        <w:rPr>
          <w:rFonts w:cs="Calibri"/>
          <w:b/>
        </w:rPr>
        <w:t>Local Growth Fund 1/2 Updates</w:t>
      </w:r>
    </w:p>
    <w:p w:rsidR="00996C8C" w:rsidRDefault="00996C8C" w:rsidP="00996C8C">
      <w:pPr>
        <w:pStyle w:val="ListParagraph"/>
        <w:numPr>
          <w:ilvl w:val="1"/>
          <w:numId w:val="21"/>
        </w:numPr>
        <w:spacing w:line="254" w:lineRule="auto"/>
        <w:jc w:val="both"/>
        <w:rPr>
          <w:rFonts w:cs="Calibri"/>
          <w:b/>
        </w:rPr>
      </w:pPr>
      <w:r>
        <w:rPr>
          <w:rFonts w:cs="Calibri"/>
          <w:b/>
        </w:rPr>
        <w:t xml:space="preserve">Sydney Road Bridge </w:t>
      </w:r>
    </w:p>
    <w:p w:rsidR="00996C8C" w:rsidRDefault="00FA2E79" w:rsidP="003016E2">
      <w:pPr>
        <w:spacing w:line="254" w:lineRule="auto"/>
        <w:jc w:val="both"/>
        <w:rPr>
          <w:rFonts w:cs="Calibri"/>
        </w:rPr>
      </w:pPr>
      <w:proofErr w:type="gramStart"/>
      <w:r w:rsidRPr="00FA2E79">
        <w:rPr>
          <w:rFonts w:cs="Calibri"/>
        </w:rPr>
        <w:t>Good progress</w:t>
      </w:r>
      <w:proofErr w:type="gramEnd"/>
      <w:r w:rsidRPr="00FA2E79">
        <w:rPr>
          <w:rFonts w:cs="Calibri"/>
        </w:rPr>
        <w:t xml:space="preserve"> has been made with moving the project forward.  The implementation agreement with Network Rail has now been signed and the commuted sum for the bridge agreed.  Planning permission has been granted for the revised compound site and work will start on the cable diversion in April.  We have written to CEC to confirm that we will extend the conditions of the conditional offer letter until the end of June to give them time to finalise the business case, in anticipation of the main works starting in October.</w:t>
      </w:r>
    </w:p>
    <w:p w:rsidR="00996C8C" w:rsidRDefault="00996C8C" w:rsidP="00996C8C">
      <w:pPr>
        <w:numPr>
          <w:ilvl w:val="1"/>
          <w:numId w:val="21"/>
        </w:numPr>
        <w:spacing w:after="200" w:line="276" w:lineRule="auto"/>
        <w:jc w:val="both"/>
        <w:rPr>
          <w:rFonts w:cs="Calibri"/>
          <w:b/>
        </w:rPr>
      </w:pPr>
      <w:r>
        <w:rPr>
          <w:rFonts w:cs="Calibri"/>
          <w:b/>
        </w:rPr>
        <w:t xml:space="preserve">Warrington Centre Park Link </w:t>
      </w:r>
    </w:p>
    <w:p w:rsidR="00F347FB" w:rsidRPr="00107454" w:rsidRDefault="00F347FB" w:rsidP="003016E2">
      <w:pPr>
        <w:spacing w:after="200" w:line="276" w:lineRule="auto"/>
        <w:jc w:val="both"/>
        <w:rPr>
          <w:rFonts w:cs="Calibri"/>
        </w:rPr>
      </w:pPr>
      <w:r w:rsidRPr="00107454">
        <w:rPr>
          <w:rFonts w:cs="Calibri"/>
        </w:rPr>
        <w:t>There has been some very positive news for the project; WBC have been successful in their Housing Infrastructure Fund (HIF) bid and have secured £</w:t>
      </w:r>
      <w:r w:rsidR="00107454" w:rsidRPr="00107454">
        <w:rPr>
          <w:rFonts w:cs="Calibri"/>
        </w:rPr>
        <w:t xml:space="preserve">3.686m.  This means that the scheme is fully </w:t>
      </w:r>
      <w:proofErr w:type="gramStart"/>
      <w:r w:rsidR="00107454" w:rsidRPr="00107454">
        <w:rPr>
          <w:rFonts w:cs="Calibri"/>
        </w:rPr>
        <w:t>funded</w:t>
      </w:r>
      <w:proofErr w:type="gramEnd"/>
      <w:r w:rsidR="00107454" w:rsidRPr="00107454">
        <w:rPr>
          <w:rFonts w:cs="Calibri"/>
        </w:rPr>
        <w:t xml:space="preserve"> and they can proceed with the compulsory purchase of land required.  However, there h</w:t>
      </w:r>
      <w:r w:rsidR="00107454">
        <w:rPr>
          <w:rFonts w:cs="Calibri"/>
        </w:rPr>
        <w:t>a</w:t>
      </w:r>
      <w:r w:rsidR="00107454" w:rsidRPr="00107454">
        <w:rPr>
          <w:rFonts w:cs="Calibri"/>
        </w:rPr>
        <w:t>s also been positive movement in this respect and a verbal agreement has been reached with the key land owner.   It is hoped this will be confirmed in a legal agreement over the coming weeks.</w:t>
      </w:r>
    </w:p>
    <w:p w:rsidR="00996C8C" w:rsidRDefault="00996C8C" w:rsidP="00996C8C">
      <w:pPr>
        <w:pStyle w:val="ListParagraph"/>
        <w:numPr>
          <w:ilvl w:val="1"/>
          <w:numId w:val="21"/>
        </w:numPr>
        <w:spacing w:line="254" w:lineRule="auto"/>
        <w:jc w:val="both"/>
        <w:rPr>
          <w:rFonts w:cs="Calibri"/>
          <w:b/>
        </w:rPr>
      </w:pPr>
      <w:r>
        <w:rPr>
          <w:rFonts w:cs="Calibri"/>
          <w:b/>
        </w:rPr>
        <w:t>Warrington West Station</w:t>
      </w:r>
    </w:p>
    <w:p w:rsidR="004C0AF3" w:rsidRDefault="00C36983" w:rsidP="003016E2">
      <w:pPr>
        <w:spacing w:line="254" w:lineRule="auto"/>
        <w:jc w:val="both"/>
        <w:rPr>
          <w:rFonts w:cs="Calibri"/>
        </w:rPr>
      </w:pPr>
      <w:r w:rsidRPr="004C0AF3">
        <w:rPr>
          <w:rFonts w:cs="Calibri"/>
        </w:rPr>
        <w:t xml:space="preserve">Work is </w:t>
      </w:r>
      <w:proofErr w:type="gramStart"/>
      <w:r w:rsidRPr="004C0AF3">
        <w:rPr>
          <w:rFonts w:cs="Calibri"/>
        </w:rPr>
        <w:t>progressing</w:t>
      </w:r>
      <w:proofErr w:type="gramEnd"/>
      <w:r w:rsidRPr="004C0AF3">
        <w:rPr>
          <w:rFonts w:cs="Calibri"/>
        </w:rPr>
        <w:t xml:space="preserve"> </w:t>
      </w:r>
      <w:r w:rsidR="00BB7BE0" w:rsidRPr="004C0AF3">
        <w:rPr>
          <w:rFonts w:cs="Calibri"/>
        </w:rPr>
        <w:t>and the site compound</w:t>
      </w:r>
      <w:r w:rsidR="004C0AF3">
        <w:rPr>
          <w:rFonts w:cs="Calibri"/>
        </w:rPr>
        <w:t xml:space="preserve"> and temporary footpath</w:t>
      </w:r>
      <w:r w:rsidR="00BB7BE0" w:rsidRPr="004C0AF3">
        <w:rPr>
          <w:rFonts w:cs="Calibri"/>
        </w:rPr>
        <w:t xml:space="preserve"> </w:t>
      </w:r>
      <w:r w:rsidR="004C0AF3">
        <w:rPr>
          <w:rFonts w:cs="Calibri"/>
        </w:rPr>
        <w:t>are</w:t>
      </w:r>
      <w:r w:rsidR="00BB7BE0" w:rsidRPr="004C0AF3">
        <w:rPr>
          <w:rFonts w:cs="Calibri"/>
        </w:rPr>
        <w:t xml:space="preserve"> now complete</w:t>
      </w:r>
      <w:r w:rsidR="004C0AF3" w:rsidRPr="004C0AF3">
        <w:rPr>
          <w:rFonts w:cs="Calibri"/>
        </w:rPr>
        <w:t xml:space="preserve">, however they have lost the blockades booked for April which has meant the project has been delayed by three </w:t>
      </w:r>
      <w:r w:rsidR="004C0AF3" w:rsidRPr="004C0AF3">
        <w:rPr>
          <w:rFonts w:cs="Calibri"/>
        </w:rPr>
        <w:lastRenderedPageBreak/>
        <w:t>months.</w:t>
      </w:r>
      <w:r w:rsidR="004C0AF3">
        <w:rPr>
          <w:rFonts w:cs="Calibri"/>
        </w:rPr>
        <w:t xml:space="preserve">  This is apparently due to lots of pressure on the network due to work elsewhere and competing demands for blockades.</w:t>
      </w:r>
      <w:r w:rsidR="004C0AF3" w:rsidRPr="004C0AF3">
        <w:rPr>
          <w:rFonts w:cs="Calibri"/>
        </w:rPr>
        <w:t xml:space="preserve">  Another blockade has been booked for June and they’re trying to book contingency blockades to help pull the programme back.  The delay has impacte</w:t>
      </w:r>
      <w:r w:rsidR="004C0AF3">
        <w:rPr>
          <w:rFonts w:cs="Calibri"/>
        </w:rPr>
        <w:t>d</w:t>
      </w:r>
      <w:r w:rsidR="004C0AF3" w:rsidRPr="004C0AF3">
        <w:rPr>
          <w:rFonts w:cs="Calibri"/>
        </w:rPr>
        <w:t xml:space="preserve"> cost</w:t>
      </w:r>
      <w:r w:rsidR="004C0AF3">
        <w:rPr>
          <w:rFonts w:cs="Calibri"/>
        </w:rPr>
        <w:t>s and the</w:t>
      </w:r>
      <w:r w:rsidR="004C0AF3" w:rsidRPr="004C0AF3">
        <w:rPr>
          <w:rFonts w:cs="Calibri"/>
        </w:rPr>
        <w:t xml:space="preserve"> contractor will come back by the end of March with revised figures.</w:t>
      </w:r>
    </w:p>
    <w:p w:rsidR="00EF316D" w:rsidRPr="002B33FD" w:rsidRDefault="004C0AF3" w:rsidP="00107454">
      <w:pPr>
        <w:spacing w:line="254" w:lineRule="auto"/>
        <w:jc w:val="both"/>
        <w:rPr>
          <w:rFonts w:cs="Calibri"/>
        </w:rPr>
      </w:pPr>
      <w:r>
        <w:rPr>
          <w:rFonts w:cs="Calibri"/>
        </w:rPr>
        <w:t>There have been two complaints about the proposed network changes, one from East Midlands and one from Northern rail, who will be the train operating company.</w:t>
      </w:r>
    </w:p>
    <w:p w:rsidR="004C0AF3" w:rsidRDefault="004C0AF3" w:rsidP="00996C8C">
      <w:pPr>
        <w:pStyle w:val="ListParagraph"/>
        <w:numPr>
          <w:ilvl w:val="1"/>
          <w:numId w:val="21"/>
        </w:numPr>
        <w:spacing w:line="254" w:lineRule="auto"/>
        <w:jc w:val="both"/>
        <w:rPr>
          <w:rFonts w:cs="Calibri"/>
          <w:b/>
        </w:rPr>
      </w:pPr>
      <w:r>
        <w:rPr>
          <w:rFonts w:cs="Calibri"/>
          <w:b/>
        </w:rPr>
        <w:t>M62 j8</w:t>
      </w:r>
    </w:p>
    <w:p w:rsidR="004C0AF3" w:rsidRPr="00B73351" w:rsidRDefault="004C0AF3" w:rsidP="003016E2">
      <w:pPr>
        <w:spacing w:line="254" w:lineRule="auto"/>
        <w:jc w:val="both"/>
        <w:rPr>
          <w:rFonts w:cs="Calibri"/>
        </w:rPr>
      </w:pPr>
      <w:r w:rsidRPr="00B73351">
        <w:rPr>
          <w:rFonts w:cs="Calibri"/>
        </w:rPr>
        <w:t xml:space="preserve">The project is still on track to complete </w:t>
      </w:r>
      <w:r w:rsidR="00B73351" w:rsidRPr="00B73351">
        <w:rPr>
          <w:rFonts w:cs="Calibri"/>
        </w:rPr>
        <w:t xml:space="preserve">at the beginning of </w:t>
      </w:r>
      <w:r w:rsidRPr="00B73351">
        <w:rPr>
          <w:rFonts w:cs="Calibri"/>
        </w:rPr>
        <w:t xml:space="preserve">May.  The project was forecasting to come in under budget, but the </w:t>
      </w:r>
      <w:proofErr w:type="gramStart"/>
      <w:r w:rsidRPr="00B73351">
        <w:rPr>
          <w:rFonts w:cs="Calibri"/>
        </w:rPr>
        <w:t>bad weather</w:t>
      </w:r>
      <w:proofErr w:type="gramEnd"/>
      <w:r w:rsidRPr="00B73351">
        <w:rPr>
          <w:rFonts w:cs="Calibri"/>
        </w:rPr>
        <w:t xml:space="preserve"> delayed </w:t>
      </w:r>
      <w:r w:rsidR="00B73351" w:rsidRPr="00B73351">
        <w:rPr>
          <w:rFonts w:cs="Calibri"/>
        </w:rPr>
        <w:t>works and increased costs.  It should still complete within budget.</w:t>
      </w:r>
    </w:p>
    <w:p w:rsidR="001F6C47" w:rsidRDefault="00996C8C" w:rsidP="001F6C47">
      <w:pPr>
        <w:pStyle w:val="ListParagraph"/>
        <w:numPr>
          <w:ilvl w:val="1"/>
          <w:numId w:val="21"/>
        </w:numPr>
        <w:spacing w:line="254" w:lineRule="auto"/>
        <w:jc w:val="both"/>
        <w:rPr>
          <w:rFonts w:cs="Calibri"/>
          <w:b/>
        </w:rPr>
      </w:pPr>
      <w:proofErr w:type="spellStart"/>
      <w:r>
        <w:rPr>
          <w:rFonts w:cs="Calibri"/>
          <w:b/>
        </w:rPr>
        <w:t>Reaseheath</w:t>
      </w:r>
      <w:proofErr w:type="spellEnd"/>
      <w:r>
        <w:rPr>
          <w:rFonts w:cs="Calibri"/>
          <w:b/>
        </w:rPr>
        <w:t xml:space="preserve"> College projects</w:t>
      </w:r>
    </w:p>
    <w:p w:rsidR="001F6C47" w:rsidRPr="002B33FD" w:rsidRDefault="00EC3AED" w:rsidP="002B33FD">
      <w:pPr>
        <w:spacing w:line="254" w:lineRule="auto"/>
        <w:jc w:val="both"/>
        <w:rPr>
          <w:rFonts w:cs="Calibri"/>
          <w:b/>
        </w:rPr>
      </w:pPr>
      <w:r>
        <w:t xml:space="preserve">The Learner Hub </w:t>
      </w:r>
      <w:r w:rsidR="001F6C47">
        <w:t>project has been completed.  Output – 454 m2</w:t>
      </w:r>
      <w:r w:rsidR="003016E2">
        <w:t xml:space="preserve"> </w:t>
      </w:r>
      <w:r w:rsidR="001F6C47">
        <w:t>renovated floor space, 25 learners have benefitted 2017 /2018.</w:t>
      </w:r>
    </w:p>
    <w:p w:rsidR="001F6C47" w:rsidRPr="002B33FD" w:rsidRDefault="001F6C47" w:rsidP="002B33FD">
      <w:pPr>
        <w:spacing w:line="254" w:lineRule="auto"/>
        <w:jc w:val="both"/>
        <w:rPr>
          <w:rFonts w:cs="Calibri"/>
          <w:b/>
        </w:rPr>
      </w:pPr>
      <w:r w:rsidRPr="002B33FD">
        <w:rPr>
          <w:bCs/>
        </w:rPr>
        <w:t>The Employment Hub</w:t>
      </w:r>
      <w:r>
        <w:t xml:space="preserve"> space is not yet fully operational as the IT connections and fire escapes need to be completed but we can now count 140m2 of new </w:t>
      </w:r>
      <w:r w:rsidR="003016E2">
        <w:t>learning space</w:t>
      </w:r>
      <w:r>
        <w:t xml:space="preserve"> completed and 170 m2 renovated.  </w:t>
      </w:r>
    </w:p>
    <w:p w:rsidR="001F6C47" w:rsidRDefault="001F6C47" w:rsidP="002B33FD">
      <w:r>
        <w:t>The sports hall main building frame is now up.</w:t>
      </w:r>
    </w:p>
    <w:p w:rsidR="001F6C47" w:rsidRPr="002B33FD" w:rsidRDefault="001F6C47" w:rsidP="002B33FD">
      <w:pPr>
        <w:rPr>
          <w:b/>
          <w:bCs/>
        </w:rPr>
      </w:pPr>
      <w:r>
        <w:t>The extension to the existing</w:t>
      </w:r>
      <w:r w:rsidR="002B33FD">
        <w:t xml:space="preserve"> </w:t>
      </w:r>
      <w:proofErr w:type="spellStart"/>
      <w:r w:rsidR="002B33FD">
        <w:t>Agritech</w:t>
      </w:r>
      <w:proofErr w:type="spellEnd"/>
      <w:r>
        <w:t xml:space="preserve"> wo</w:t>
      </w:r>
      <w:r w:rsidR="003016E2">
        <w:t>r</w:t>
      </w:r>
      <w:r>
        <w:t>kshops ha</w:t>
      </w:r>
      <w:r w:rsidR="002B33FD">
        <w:t>ve</w:t>
      </w:r>
      <w:r>
        <w:t xml:space="preserve"> been completed providing 363 m2 of commercial space constructed and this is benefiting 24 students.</w:t>
      </w:r>
    </w:p>
    <w:p w:rsidR="0064301A" w:rsidRPr="003016E2" w:rsidRDefault="0064301A" w:rsidP="003016E2">
      <w:pPr>
        <w:pStyle w:val="ListParagraph"/>
        <w:spacing w:line="254" w:lineRule="auto"/>
        <w:ind w:left="792"/>
        <w:jc w:val="both"/>
        <w:rPr>
          <w:rFonts w:cs="Calibri"/>
          <w:b/>
        </w:rPr>
      </w:pPr>
    </w:p>
    <w:p w:rsidR="00996C8C" w:rsidRDefault="00996C8C" w:rsidP="00996C8C">
      <w:pPr>
        <w:pStyle w:val="ListParagraph"/>
        <w:numPr>
          <w:ilvl w:val="1"/>
          <w:numId w:val="21"/>
        </w:numPr>
        <w:spacing w:line="254" w:lineRule="auto"/>
        <w:jc w:val="both"/>
        <w:rPr>
          <w:rFonts w:cs="Calibri"/>
          <w:b/>
        </w:rPr>
      </w:pPr>
      <w:r>
        <w:rPr>
          <w:rFonts w:cs="Calibri"/>
          <w:b/>
        </w:rPr>
        <w:t>Ellesmere Port Central Development Zone</w:t>
      </w:r>
    </w:p>
    <w:p w:rsidR="006071CF" w:rsidRDefault="0064301A" w:rsidP="003016E2">
      <w:pPr>
        <w:spacing w:line="254" w:lineRule="auto"/>
        <w:jc w:val="both"/>
        <w:rPr>
          <w:rFonts w:cs="Calibri"/>
        </w:rPr>
      </w:pPr>
      <w:proofErr w:type="gramStart"/>
      <w:r>
        <w:rPr>
          <w:rFonts w:cs="Calibri"/>
        </w:rPr>
        <w:t>The  Invitation</w:t>
      </w:r>
      <w:proofErr w:type="gramEnd"/>
      <w:r>
        <w:rPr>
          <w:rFonts w:cs="Calibri"/>
        </w:rPr>
        <w:t xml:space="preserve"> to tender for the </w:t>
      </w:r>
      <w:proofErr w:type="spellStart"/>
      <w:r>
        <w:rPr>
          <w:rFonts w:cs="Calibri"/>
        </w:rPr>
        <w:t>masterplanning</w:t>
      </w:r>
      <w:proofErr w:type="spellEnd"/>
      <w:r>
        <w:rPr>
          <w:rFonts w:cs="Calibri"/>
        </w:rPr>
        <w:t xml:space="preserve"> work has now been issued, albeit, considerably later than expected.</w:t>
      </w:r>
    </w:p>
    <w:p w:rsidR="0064301A" w:rsidRDefault="0064301A" w:rsidP="003016E2">
      <w:pPr>
        <w:spacing w:line="254" w:lineRule="auto"/>
        <w:jc w:val="both"/>
        <w:rPr>
          <w:rFonts w:cs="Calibri"/>
        </w:rPr>
      </w:pPr>
      <w:r>
        <w:rPr>
          <w:rFonts w:cs="Calibri"/>
        </w:rPr>
        <w:t>An options appraisal meeting was held at the end of February to score the four potential building options.  The option with the highest score was to put the new building on the shopping site but it is understood that from a financial perspective this would be challenging due to the amount the shopping centre owner wants for that part of the site.  The second highest scoring option was the new build on the existing Civic Way site.</w:t>
      </w:r>
    </w:p>
    <w:p w:rsidR="006071CF" w:rsidRPr="003016E2" w:rsidRDefault="0064301A" w:rsidP="003016E2">
      <w:pPr>
        <w:spacing w:line="254" w:lineRule="auto"/>
        <w:rPr>
          <w:rFonts w:cs="Calibri"/>
        </w:rPr>
      </w:pPr>
      <w:r>
        <w:rPr>
          <w:rFonts w:cs="Calibri"/>
        </w:rPr>
        <w:t>The LEP is expecting the updated business plan by the end of the month.</w:t>
      </w:r>
    </w:p>
    <w:p w:rsidR="00BD562D" w:rsidRDefault="00BD562D" w:rsidP="00996C8C">
      <w:pPr>
        <w:pStyle w:val="NoSpacing"/>
        <w:jc w:val="both"/>
      </w:pPr>
    </w:p>
    <w:p w:rsidR="007C1716" w:rsidRDefault="007C1716" w:rsidP="006A1083">
      <w:pPr>
        <w:pStyle w:val="NoSpacing"/>
        <w:numPr>
          <w:ilvl w:val="1"/>
          <w:numId w:val="21"/>
        </w:numPr>
        <w:tabs>
          <w:tab w:val="left" w:pos="900"/>
        </w:tabs>
        <w:ind w:left="810" w:hanging="450"/>
        <w:jc w:val="both"/>
        <w:rPr>
          <w:b/>
        </w:rPr>
      </w:pPr>
      <w:r>
        <w:rPr>
          <w:b/>
        </w:rPr>
        <w:t>Thornton Energy Demonstrator</w:t>
      </w:r>
    </w:p>
    <w:p w:rsidR="007C1716" w:rsidRPr="00BD562D" w:rsidRDefault="00BD562D" w:rsidP="007C1716">
      <w:pPr>
        <w:pStyle w:val="NoSpacing"/>
        <w:tabs>
          <w:tab w:val="left" w:pos="900"/>
        </w:tabs>
        <w:jc w:val="both"/>
      </w:pPr>
      <w:r w:rsidRPr="00BD562D">
        <w:t>John Adlen to provide update on wider site development at the meeting.</w:t>
      </w:r>
    </w:p>
    <w:p w:rsidR="00996C8C" w:rsidRDefault="00996C8C" w:rsidP="00996C8C">
      <w:pPr>
        <w:pStyle w:val="NoSpacing"/>
        <w:jc w:val="both"/>
        <w:rPr>
          <w:b/>
        </w:rPr>
      </w:pPr>
    </w:p>
    <w:p w:rsidR="00996C8C" w:rsidRDefault="00996C8C" w:rsidP="00996C8C">
      <w:pPr>
        <w:pStyle w:val="ListParagraph"/>
        <w:numPr>
          <w:ilvl w:val="0"/>
          <w:numId w:val="21"/>
        </w:numPr>
        <w:spacing w:line="254" w:lineRule="auto"/>
        <w:jc w:val="both"/>
        <w:rPr>
          <w:rFonts w:cs="Calibri"/>
          <w:b/>
        </w:rPr>
      </w:pPr>
      <w:r>
        <w:rPr>
          <w:rFonts w:cs="Calibri"/>
          <w:b/>
        </w:rPr>
        <w:t>LGF3 update</w:t>
      </w:r>
    </w:p>
    <w:p w:rsidR="00FE212C" w:rsidRPr="00C81BE0" w:rsidRDefault="00FE212C" w:rsidP="00FE212C">
      <w:pPr>
        <w:pStyle w:val="ListParagraph"/>
        <w:numPr>
          <w:ilvl w:val="1"/>
          <w:numId w:val="21"/>
        </w:numPr>
        <w:spacing w:line="254" w:lineRule="auto"/>
        <w:jc w:val="both"/>
        <w:rPr>
          <w:rFonts w:cs="Calibri"/>
          <w:b/>
        </w:rPr>
      </w:pPr>
      <w:r>
        <w:rPr>
          <w:rFonts w:cs="Calibri"/>
          <w:b/>
        </w:rPr>
        <w:t>Crewe High Speed Ready Heart</w:t>
      </w:r>
    </w:p>
    <w:p w:rsidR="00FE212C" w:rsidRPr="00C81BE0" w:rsidRDefault="00FE212C" w:rsidP="00FE212C">
      <w:pPr>
        <w:spacing w:line="254" w:lineRule="auto"/>
        <w:jc w:val="both"/>
        <w:rPr>
          <w:rFonts w:cs="Calibri"/>
        </w:rPr>
      </w:pPr>
      <w:r w:rsidRPr="00C81BE0">
        <w:rPr>
          <w:rFonts w:cs="Calibri"/>
        </w:rPr>
        <w:t xml:space="preserve">Peveril Securities </w:t>
      </w:r>
      <w:r w:rsidR="00C81BE0" w:rsidRPr="00C81BE0">
        <w:rPr>
          <w:rFonts w:cs="Calibri"/>
        </w:rPr>
        <w:t>have been appointed to develop out the Royal Arcade following a procurement process.</w:t>
      </w:r>
      <w:r w:rsidRPr="00C81BE0">
        <w:rPr>
          <w:rFonts w:cs="Calibri"/>
        </w:rPr>
        <w:t xml:space="preserve"> </w:t>
      </w:r>
      <w:r w:rsidR="00945890">
        <w:rPr>
          <w:rFonts w:cs="Calibri"/>
        </w:rPr>
        <w:t xml:space="preserve"> </w:t>
      </w:r>
      <w:r w:rsidRPr="00C81BE0">
        <w:rPr>
          <w:rFonts w:cs="Calibri"/>
        </w:rPr>
        <w:t>The Council</w:t>
      </w:r>
      <w:r w:rsidR="00C81BE0" w:rsidRPr="00C81BE0">
        <w:rPr>
          <w:rFonts w:cs="Calibri"/>
        </w:rPr>
        <w:t xml:space="preserve"> is continuing with site assembly and</w:t>
      </w:r>
      <w:r w:rsidRPr="00C81BE0">
        <w:rPr>
          <w:rFonts w:cs="Calibri"/>
        </w:rPr>
        <w:t xml:space="preserve"> will shortly</w:t>
      </w:r>
      <w:r w:rsidR="00C81BE0" w:rsidRPr="00C81BE0">
        <w:rPr>
          <w:rFonts w:cs="Calibri"/>
        </w:rPr>
        <w:t xml:space="preserve"> </w:t>
      </w:r>
      <w:r w:rsidRPr="00C81BE0">
        <w:rPr>
          <w:rFonts w:cs="Calibri"/>
        </w:rPr>
        <w:t xml:space="preserve">advertise notices for the appropriation of </w:t>
      </w:r>
      <w:r w:rsidR="00C81BE0" w:rsidRPr="00C81BE0">
        <w:rPr>
          <w:rFonts w:cs="Calibri"/>
        </w:rPr>
        <w:t>land and</w:t>
      </w:r>
      <w:r w:rsidRPr="00C81BE0">
        <w:rPr>
          <w:rFonts w:cs="Calibri"/>
        </w:rPr>
        <w:t xml:space="preserve"> for the proposed disposal of public open space at Royal Arcade. </w:t>
      </w:r>
    </w:p>
    <w:p w:rsidR="00FE212C" w:rsidRPr="006071CF" w:rsidRDefault="00FE212C" w:rsidP="00FE212C">
      <w:pPr>
        <w:spacing w:line="254" w:lineRule="auto"/>
        <w:jc w:val="both"/>
        <w:rPr>
          <w:rFonts w:cs="Calibri"/>
        </w:rPr>
      </w:pPr>
      <w:r w:rsidRPr="00C81BE0">
        <w:rPr>
          <w:rFonts w:cs="Calibri"/>
        </w:rPr>
        <w:t xml:space="preserve">Consultation process has been completed </w:t>
      </w:r>
      <w:r w:rsidR="00945890">
        <w:rPr>
          <w:rFonts w:cs="Calibri"/>
        </w:rPr>
        <w:t xml:space="preserve">for Crewe </w:t>
      </w:r>
      <w:r w:rsidR="00934E2A">
        <w:rPr>
          <w:rFonts w:cs="Calibri"/>
        </w:rPr>
        <w:t>Market.  The r</w:t>
      </w:r>
      <w:r w:rsidRPr="00C81BE0">
        <w:rPr>
          <w:rFonts w:cs="Calibri"/>
        </w:rPr>
        <w:t>esulting actions have created an additional cost pressure for interim arrangements</w:t>
      </w:r>
      <w:r w:rsidR="00C81BE0" w:rsidRPr="00C81BE0">
        <w:rPr>
          <w:rFonts w:cs="Calibri"/>
        </w:rPr>
        <w:t xml:space="preserve">. </w:t>
      </w:r>
      <w:r w:rsidRPr="00C81BE0">
        <w:rPr>
          <w:rFonts w:cs="Calibri"/>
        </w:rPr>
        <w:t>Procurement of long-term market operator</w:t>
      </w:r>
      <w:r w:rsidR="00C81BE0" w:rsidRPr="00C81BE0">
        <w:rPr>
          <w:rFonts w:cs="Calibri"/>
        </w:rPr>
        <w:t xml:space="preserve"> to commence by end of February.</w:t>
      </w:r>
    </w:p>
    <w:p w:rsidR="00996C8C" w:rsidRPr="006A1083" w:rsidRDefault="00996C8C" w:rsidP="00996C8C">
      <w:pPr>
        <w:pStyle w:val="ListParagraph"/>
        <w:numPr>
          <w:ilvl w:val="1"/>
          <w:numId w:val="21"/>
        </w:numPr>
        <w:spacing w:line="254" w:lineRule="auto"/>
        <w:jc w:val="both"/>
        <w:rPr>
          <w:rFonts w:cs="Calibri"/>
          <w:b/>
        </w:rPr>
      </w:pPr>
      <w:r>
        <w:rPr>
          <w:rFonts w:eastAsia="Times New Roman" w:cs="Calibri"/>
          <w:b/>
          <w:color w:val="000000"/>
          <w:lang w:eastAsia="en-GB"/>
        </w:rPr>
        <w:lastRenderedPageBreak/>
        <w:t xml:space="preserve">Unlocking Winsford Industrial </w:t>
      </w:r>
      <w:r w:rsidR="00645DD1">
        <w:rPr>
          <w:rFonts w:eastAsia="Times New Roman" w:cs="Calibri"/>
          <w:b/>
          <w:color w:val="000000"/>
          <w:lang w:eastAsia="en-GB"/>
        </w:rPr>
        <w:t>Expansion</w:t>
      </w:r>
      <w:r>
        <w:rPr>
          <w:rFonts w:eastAsia="Times New Roman" w:cs="Calibri"/>
          <w:b/>
          <w:color w:val="000000"/>
          <w:lang w:eastAsia="en-GB"/>
        </w:rPr>
        <w:t xml:space="preserve"> Land</w:t>
      </w:r>
    </w:p>
    <w:p w:rsidR="0064301A" w:rsidRPr="00BD562D" w:rsidRDefault="006A1083" w:rsidP="00BD562D">
      <w:pPr>
        <w:spacing w:line="254" w:lineRule="auto"/>
        <w:jc w:val="both"/>
        <w:rPr>
          <w:rFonts w:cs="Calibri"/>
        </w:rPr>
      </w:pPr>
      <w:r w:rsidRPr="006A1083">
        <w:rPr>
          <w:rFonts w:cs="Calibri"/>
        </w:rPr>
        <w:t xml:space="preserve">Work is </w:t>
      </w:r>
      <w:r w:rsidR="00645DD1" w:rsidRPr="006A1083">
        <w:rPr>
          <w:rFonts w:cs="Calibri"/>
        </w:rPr>
        <w:t>continuing</w:t>
      </w:r>
      <w:r w:rsidRPr="006A1083">
        <w:rPr>
          <w:rFonts w:cs="Calibri"/>
        </w:rPr>
        <w:t xml:space="preserve"> developing the masterplan.  The planning application is due to be submitted at the end of the </w:t>
      </w:r>
      <w:r w:rsidR="003016E2">
        <w:rPr>
          <w:rFonts w:cs="Calibri"/>
        </w:rPr>
        <w:t>March.</w:t>
      </w:r>
      <w:r w:rsidR="00BD562D">
        <w:rPr>
          <w:rFonts w:cs="Calibri"/>
        </w:rPr>
        <w:t xml:space="preserve">  </w:t>
      </w:r>
    </w:p>
    <w:p w:rsidR="00BD562D" w:rsidRDefault="00BD562D" w:rsidP="00BD562D">
      <w:pPr>
        <w:spacing w:line="254" w:lineRule="auto"/>
        <w:jc w:val="both"/>
        <w:rPr>
          <w:rFonts w:cs="Calibri"/>
        </w:rPr>
      </w:pPr>
      <w:r w:rsidRPr="00BD562D">
        <w:rPr>
          <w:rFonts w:cs="Calibri"/>
        </w:rPr>
        <w:t xml:space="preserve">The council has requested legal advice to review state aid implications of including Tiger Trailers scheme more fully within the scope of the LGF bid. </w:t>
      </w:r>
      <w:r w:rsidR="0064301A">
        <w:rPr>
          <w:rFonts w:cs="Calibri"/>
        </w:rPr>
        <w:t>CWAC are looking at giving £500k to tiger trailers towards their infrastructure works from the £5m secured for this scheme from LGF and CWAC.  Details have been requested on how this impacts the delivery of the scheme presented to P&amp;I for conditional approval.</w:t>
      </w:r>
    </w:p>
    <w:p w:rsidR="00996C8C" w:rsidRPr="003016E2" w:rsidRDefault="00996C8C" w:rsidP="00996C8C">
      <w:pPr>
        <w:pStyle w:val="ListParagraph"/>
        <w:numPr>
          <w:ilvl w:val="1"/>
          <w:numId w:val="21"/>
        </w:numPr>
        <w:spacing w:line="254" w:lineRule="auto"/>
        <w:jc w:val="both"/>
        <w:rPr>
          <w:rFonts w:cs="Calibri"/>
          <w:b/>
        </w:rPr>
      </w:pPr>
      <w:proofErr w:type="spellStart"/>
      <w:r>
        <w:rPr>
          <w:rFonts w:eastAsia="Times New Roman" w:cs="Calibri"/>
          <w:b/>
          <w:color w:val="000000"/>
          <w:lang w:eastAsia="en-GB"/>
        </w:rPr>
        <w:t>Tarvin</w:t>
      </w:r>
      <w:proofErr w:type="spellEnd"/>
      <w:r>
        <w:rPr>
          <w:rFonts w:eastAsia="Times New Roman" w:cs="Calibri"/>
          <w:b/>
          <w:color w:val="000000"/>
          <w:lang w:eastAsia="en-GB"/>
        </w:rPr>
        <w:t xml:space="preserve"> Road</w:t>
      </w:r>
    </w:p>
    <w:p w:rsidR="003016E2" w:rsidRPr="003016E2" w:rsidRDefault="003016E2" w:rsidP="003016E2">
      <w:pPr>
        <w:spacing w:line="254" w:lineRule="auto"/>
        <w:jc w:val="both"/>
        <w:rPr>
          <w:rFonts w:cs="Calibri"/>
        </w:rPr>
      </w:pPr>
      <w:r w:rsidRPr="003016E2">
        <w:rPr>
          <w:rFonts w:cs="Calibri"/>
        </w:rPr>
        <w:t>The appraisal has now been received and is covered in a separate paper.</w:t>
      </w:r>
    </w:p>
    <w:p w:rsidR="006071CF" w:rsidRDefault="006071CF" w:rsidP="00996C8C">
      <w:pPr>
        <w:pStyle w:val="ListParagraph"/>
        <w:spacing w:line="254" w:lineRule="auto"/>
        <w:ind w:left="0"/>
        <w:jc w:val="both"/>
        <w:rPr>
          <w:rFonts w:cs="Calibri"/>
        </w:rPr>
      </w:pPr>
    </w:p>
    <w:p w:rsidR="00996C8C" w:rsidRDefault="00996C8C" w:rsidP="00996C8C">
      <w:pPr>
        <w:pStyle w:val="ListParagraph"/>
        <w:numPr>
          <w:ilvl w:val="1"/>
          <w:numId w:val="21"/>
        </w:numPr>
        <w:spacing w:line="254" w:lineRule="auto"/>
        <w:jc w:val="both"/>
        <w:rPr>
          <w:rFonts w:cs="Calibri"/>
          <w:b/>
        </w:rPr>
      </w:pPr>
      <w:r>
        <w:rPr>
          <w:rFonts w:eastAsia="Times New Roman" w:cs="Calibri"/>
          <w:b/>
          <w:color w:val="000000"/>
          <w:lang w:eastAsia="en-GB"/>
        </w:rPr>
        <w:t>Joint Cheshire and Warrington Sustainable Travel Access Fund</w:t>
      </w:r>
    </w:p>
    <w:p w:rsidR="00313712" w:rsidRDefault="00996C8C" w:rsidP="00996C8C">
      <w:pPr>
        <w:jc w:val="both"/>
        <w:rPr>
          <w:rFonts w:cs="Calibri"/>
        </w:rPr>
      </w:pPr>
      <w:r>
        <w:rPr>
          <w:rFonts w:cs="Calibri"/>
        </w:rPr>
        <w:t xml:space="preserve">The applications </w:t>
      </w:r>
      <w:r w:rsidR="004D6446">
        <w:rPr>
          <w:rFonts w:cs="Calibri"/>
        </w:rPr>
        <w:t>have been reviewed.  Discussions have been held with two local authorities about whether they can sensibly reduce their proposed schemes down to a level which would enable the LEP to grant each local a</w:t>
      </w:r>
      <w:r w:rsidR="00313712">
        <w:rPr>
          <w:rFonts w:cs="Calibri"/>
        </w:rPr>
        <w:t>uthority and equal amount.  The schemes are detailed below.</w:t>
      </w:r>
    </w:p>
    <w:p w:rsidR="00313712" w:rsidRDefault="00313712" w:rsidP="00996C8C">
      <w:pPr>
        <w:jc w:val="both"/>
        <w:rPr>
          <w:rFonts w:cs="Calibri"/>
        </w:rPr>
      </w:pPr>
      <w:r>
        <w:rPr>
          <w:rFonts w:cs="Calibri"/>
        </w:rPr>
        <w:t xml:space="preserve">The Local Transport Board will be asked to approve the schemes in principle and </w:t>
      </w:r>
      <w:r w:rsidR="003F7CE2">
        <w:rPr>
          <w:rFonts w:cs="Calibri"/>
        </w:rPr>
        <w:t>the allocation of funds at their meeting at the beginning of April.</w:t>
      </w:r>
    </w:p>
    <w:p w:rsidR="000D0C22" w:rsidRDefault="000D0C22" w:rsidP="00996C8C">
      <w:pPr>
        <w:jc w:val="both"/>
        <w:rPr>
          <w:rFonts w:cs="Calibri"/>
        </w:rPr>
      </w:pPr>
    </w:p>
    <w:tbl>
      <w:tblPr>
        <w:tblW w:w="4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0"/>
        <w:gridCol w:w="1183"/>
      </w:tblGrid>
      <w:tr w:rsidR="000D0C22" w:rsidTr="000D0C22">
        <w:trPr>
          <w:trHeight w:val="510"/>
          <w:jc w:val="center"/>
        </w:trPr>
        <w:tc>
          <w:tcPr>
            <w:tcW w:w="3660" w:type="dxa"/>
            <w:noWrap/>
            <w:tcMar>
              <w:top w:w="0" w:type="dxa"/>
              <w:left w:w="108" w:type="dxa"/>
              <w:bottom w:w="0" w:type="dxa"/>
              <w:right w:w="108" w:type="dxa"/>
            </w:tcMar>
            <w:vAlign w:val="bottom"/>
            <w:hideMark/>
          </w:tcPr>
          <w:p w:rsidR="000D0C22" w:rsidRDefault="000D0C22">
            <w:pPr>
              <w:rPr>
                <w:rFonts w:ascii="Arial" w:hAnsi="Arial" w:cs="Arial"/>
                <w:b/>
                <w:bCs/>
                <w:sz w:val="20"/>
                <w:szCs w:val="20"/>
                <w:lang w:eastAsia="en-GB"/>
              </w:rPr>
            </w:pPr>
            <w:r>
              <w:rPr>
                <w:rFonts w:ascii="Arial" w:hAnsi="Arial" w:cs="Arial"/>
                <w:b/>
                <w:bCs/>
                <w:sz w:val="20"/>
                <w:szCs w:val="20"/>
                <w:lang w:eastAsia="en-GB"/>
              </w:rPr>
              <w:t>Scheme</w:t>
            </w:r>
          </w:p>
        </w:tc>
        <w:tc>
          <w:tcPr>
            <w:tcW w:w="1060" w:type="dxa"/>
            <w:tcMar>
              <w:top w:w="0" w:type="dxa"/>
              <w:left w:w="108" w:type="dxa"/>
              <w:bottom w:w="0" w:type="dxa"/>
              <w:right w:w="108" w:type="dxa"/>
            </w:tcMar>
            <w:vAlign w:val="bottom"/>
            <w:hideMark/>
          </w:tcPr>
          <w:p w:rsidR="000D0C22" w:rsidRDefault="000D0C22">
            <w:pPr>
              <w:rPr>
                <w:rFonts w:ascii="Arial" w:hAnsi="Arial" w:cs="Arial"/>
                <w:b/>
                <w:bCs/>
                <w:sz w:val="20"/>
                <w:szCs w:val="20"/>
                <w:lang w:eastAsia="en-GB"/>
              </w:rPr>
            </w:pPr>
            <w:r>
              <w:rPr>
                <w:rFonts w:ascii="Arial" w:hAnsi="Arial" w:cs="Arial"/>
                <w:b/>
                <w:bCs/>
                <w:sz w:val="20"/>
                <w:szCs w:val="20"/>
                <w:lang w:eastAsia="en-GB"/>
              </w:rPr>
              <w:t>Proposed Allocation</w:t>
            </w:r>
          </w:p>
          <w:p w:rsidR="000D0C22" w:rsidRDefault="000D0C22">
            <w:pPr>
              <w:rPr>
                <w:rFonts w:ascii="Arial" w:hAnsi="Arial" w:cs="Arial"/>
                <w:b/>
                <w:bCs/>
                <w:sz w:val="20"/>
                <w:szCs w:val="20"/>
                <w:lang w:eastAsia="en-GB"/>
              </w:rPr>
            </w:pPr>
            <w:r>
              <w:rPr>
                <w:rFonts w:ascii="Arial" w:hAnsi="Arial" w:cs="Arial"/>
                <w:b/>
                <w:bCs/>
                <w:sz w:val="20"/>
                <w:szCs w:val="20"/>
                <w:lang w:eastAsia="en-GB"/>
              </w:rPr>
              <w:t>£’000s</w:t>
            </w:r>
          </w:p>
        </w:tc>
      </w:tr>
      <w:tr w:rsidR="000D0C22" w:rsidTr="000D0C22">
        <w:trPr>
          <w:trHeight w:val="255"/>
          <w:jc w:val="center"/>
        </w:trPr>
        <w:tc>
          <w:tcPr>
            <w:tcW w:w="3660" w:type="dxa"/>
            <w:noWrap/>
            <w:tcMar>
              <w:top w:w="0" w:type="dxa"/>
              <w:left w:w="108" w:type="dxa"/>
              <w:bottom w:w="0" w:type="dxa"/>
              <w:right w:w="108" w:type="dxa"/>
            </w:tcMar>
            <w:vAlign w:val="bottom"/>
            <w:hideMark/>
          </w:tcPr>
          <w:p w:rsidR="000D0C22" w:rsidRDefault="000D0C22">
            <w:pPr>
              <w:rPr>
                <w:rFonts w:ascii="Arial" w:hAnsi="Arial" w:cs="Arial"/>
                <w:sz w:val="20"/>
                <w:szCs w:val="20"/>
                <w:lang w:eastAsia="en-GB"/>
              </w:rPr>
            </w:pPr>
            <w:r>
              <w:rPr>
                <w:rFonts w:ascii="Arial" w:hAnsi="Arial" w:cs="Arial"/>
                <w:sz w:val="20"/>
                <w:szCs w:val="20"/>
                <w:lang w:eastAsia="en-GB"/>
              </w:rPr>
              <w:t>Wilmslow Strategic Route (CE)</w:t>
            </w:r>
          </w:p>
        </w:tc>
        <w:tc>
          <w:tcPr>
            <w:tcW w:w="1060" w:type="dxa"/>
            <w:noWrap/>
            <w:tcMar>
              <w:top w:w="0" w:type="dxa"/>
              <w:left w:w="108" w:type="dxa"/>
              <w:bottom w:w="0" w:type="dxa"/>
              <w:right w:w="108" w:type="dxa"/>
            </w:tcMar>
            <w:vAlign w:val="bottom"/>
            <w:hideMark/>
          </w:tcPr>
          <w:p w:rsidR="000D0C22" w:rsidRDefault="000D0C22">
            <w:pPr>
              <w:jc w:val="right"/>
              <w:rPr>
                <w:rFonts w:ascii="Arial" w:hAnsi="Arial" w:cs="Arial"/>
                <w:sz w:val="20"/>
                <w:szCs w:val="20"/>
                <w:lang w:eastAsia="en-GB"/>
              </w:rPr>
            </w:pPr>
            <w:r>
              <w:rPr>
                <w:rFonts w:ascii="Arial" w:hAnsi="Arial" w:cs="Arial"/>
                <w:sz w:val="20"/>
                <w:szCs w:val="20"/>
                <w:lang w:eastAsia="en-GB"/>
              </w:rPr>
              <w:t>500</w:t>
            </w:r>
          </w:p>
        </w:tc>
      </w:tr>
      <w:tr w:rsidR="000D0C22" w:rsidTr="000D0C22">
        <w:trPr>
          <w:trHeight w:val="255"/>
          <w:jc w:val="center"/>
        </w:trPr>
        <w:tc>
          <w:tcPr>
            <w:tcW w:w="3660" w:type="dxa"/>
            <w:noWrap/>
            <w:tcMar>
              <w:top w:w="0" w:type="dxa"/>
              <w:left w:w="108" w:type="dxa"/>
              <w:bottom w:w="0" w:type="dxa"/>
              <w:right w:w="108" w:type="dxa"/>
            </w:tcMar>
            <w:vAlign w:val="bottom"/>
            <w:hideMark/>
          </w:tcPr>
          <w:p w:rsidR="000D0C22" w:rsidRDefault="000D0C22">
            <w:pPr>
              <w:rPr>
                <w:rFonts w:ascii="Arial" w:hAnsi="Arial" w:cs="Arial"/>
                <w:sz w:val="20"/>
                <w:szCs w:val="20"/>
                <w:lang w:eastAsia="en-GB"/>
              </w:rPr>
            </w:pPr>
            <w:r>
              <w:rPr>
                <w:rFonts w:ascii="Arial" w:hAnsi="Arial" w:cs="Arial"/>
                <w:sz w:val="20"/>
                <w:szCs w:val="20"/>
                <w:lang w:eastAsia="en-GB"/>
              </w:rPr>
              <w:t>A5117 (</w:t>
            </w:r>
            <w:proofErr w:type="spellStart"/>
            <w:r>
              <w:rPr>
                <w:rFonts w:ascii="Arial" w:hAnsi="Arial" w:cs="Arial"/>
                <w:sz w:val="20"/>
                <w:szCs w:val="20"/>
                <w:lang w:eastAsia="en-GB"/>
              </w:rPr>
              <w:t>CWaC</w:t>
            </w:r>
            <w:proofErr w:type="spellEnd"/>
            <w:r>
              <w:rPr>
                <w:rFonts w:ascii="Arial" w:hAnsi="Arial" w:cs="Arial"/>
                <w:sz w:val="20"/>
                <w:szCs w:val="20"/>
                <w:lang w:eastAsia="en-GB"/>
              </w:rPr>
              <w:t>)</w:t>
            </w:r>
          </w:p>
        </w:tc>
        <w:tc>
          <w:tcPr>
            <w:tcW w:w="1060" w:type="dxa"/>
            <w:noWrap/>
            <w:tcMar>
              <w:top w:w="0" w:type="dxa"/>
              <w:left w:w="108" w:type="dxa"/>
              <w:bottom w:w="0" w:type="dxa"/>
              <w:right w:w="108" w:type="dxa"/>
            </w:tcMar>
            <w:vAlign w:val="bottom"/>
            <w:hideMark/>
          </w:tcPr>
          <w:p w:rsidR="000D0C22" w:rsidRDefault="000D0C22">
            <w:pPr>
              <w:jc w:val="right"/>
              <w:rPr>
                <w:rFonts w:ascii="Arial" w:hAnsi="Arial" w:cs="Arial"/>
                <w:sz w:val="20"/>
                <w:szCs w:val="20"/>
                <w:lang w:eastAsia="en-GB"/>
              </w:rPr>
            </w:pPr>
            <w:r>
              <w:rPr>
                <w:rFonts w:ascii="Arial" w:hAnsi="Arial" w:cs="Arial"/>
                <w:sz w:val="20"/>
                <w:szCs w:val="20"/>
                <w:lang w:eastAsia="en-GB"/>
              </w:rPr>
              <w:t>380</w:t>
            </w:r>
          </w:p>
        </w:tc>
      </w:tr>
      <w:tr w:rsidR="000D0C22" w:rsidTr="000D0C22">
        <w:trPr>
          <w:trHeight w:val="255"/>
          <w:jc w:val="center"/>
        </w:trPr>
        <w:tc>
          <w:tcPr>
            <w:tcW w:w="3660" w:type="dxa"/>
            <w:noWrap/>
            <w:tcMar>
              <w:top w:w="0" w:type="dxa"/>
              <w:left w:w="108" w:type="dxa"/>
              <w:bottom w:w="0" w:type="dxa"/>
              <w:right w:w="108" w:type="dxa"/>
            </w:tcMar>
            <w:vAlign w:val="bottom"/>
            <w:hideMark/>
          </w:tcPr>
          <w:p w:rsidR="000D0C22" w:rsidRDefault="000D0C22">
            <w:pPr>
              <w:rPr>
                <w:rFonts w:ascii="Arial" w:hAnsi="Arial" w:cs="Arial"/>
                <w:sz w:val="20"/>
                <w:szCs w:val="20"/>
                <w:lang w:eastAsia="en-GB"/>
              </w:rPr>
            </w:pPr>
            <w:r>
              <w:rPr>
                <w:rFonts w:ascii="Arial" w:hAnsi="Arial" w:cs="Arial"/>
                <w:sz w:val="20"/>
                <w:szCs w:val="20"/>
                <w:lang w:eastAsia="en-GB"/>
              </w:rPr>
              <w:t>Sutton Way (</w:t>
            </w:r>
            <w:proofErr w:type="spellStart"/>
            <w:r>
              <w:rPr>
                <w:rFonts w:ascii="Arial" w:hAnsi="Arial" w:cs="Arial"/>
                <w:sz w:val="20"/>
                <w:szCs w:val="20"/>
                <w:lang w:eastAsia="en-GB"/>
              </w:rPr>
              <w:t>CWaC</w:t>
            </w:r>
            <w:proofErr w:type="spellEnd"/>
            <w:r>
              <w:rPr>
                <w:rFonts w:ascii="Arial" w:hAnsi="Arial" w:cs="Arial"/>
                <w:sz w:val="20"/>
                <w:szCs w:val="20"/>
                <w:lang w:eastAsia="en-GB"/>
              </w:rPr>
              <w:t>)</w:t>
            </w:r>
          </w:p>
        </w:tc>
        <w:tc>
          <w:tcPr>
            <w:tcW w:w="1060" w:type="dxa"/>
            <w:noWrap/>
            <w:tcMar>
              <w:top w:w="0" w:type="dxa"/>
              <w:left w:w="108" w:type="dxa"/>
              <w:bottom w:w="0" w:type="dxa"/>
              <w:right w:w="108" w:type="dxa"/>
            </w:tcMar>
            <w:vAlign w:val="bottom"/>
            <w:hideMark/>
          </w:tcPr>
          <w:p w:rsidR="000D0C22" w:rsidRDefault="000D0C22">
            <w:pPr>
              <w:jc w:val="right"/>
              <w:rPr>
                <w:rFonts w:ascii="Arial" w:hAnsi="Arial" w:cs="Arial"/>
                <w:sz w:val="20"/>
                <w:szCs w:val="20"/>
                <w:lang w:eastAsia="en-GB"/>
              </w:rPr>
            </w:pPr>
            <w:r>
              <w:rPr>
                <w:rFonts w:ascii="Arial" w:hAnsi="Arial" w:cs="Arial"/>
                <w:sz w:val="20"/>
                <w:szCs w:val="20"/>
                <w:lang w:eastAsia="en-GB"/>
              </w:rPr>
              <w:t>640</w:t>
            </w:r>
          </w:p>
        </w:tc>
      </w:tr>
      <w:tr w:rsidR="000D0C22" w:rsidTr="000D0C22">
        <w:trPr>
          <w:trHeight w:val="255"/>
          <w:jc w:val="center"/>
        </w:trPr>
        <w:tc>
          <w:tcPr>
            <w:tcW w:w="3660" w:type="dxa"/>
            <w:noWrap/>
            <w:tcMar>
              <w:top w:w="0" w:type="dxa"/>
              <w:left w:w="108" w:type="dxa"/>
              <w:bottom w:w="0" w:type="dxa"/>
              <w:right w:w="108" w:type="dxa"/>
            </w:tcMar>
            <w:vAlign w:val="bottom"/>
            <w:hideMark/>
          </w:tcPr>
          <w:p w:rsidR="000D0C22" w:rsidRDefault="000D0C22">
            <w:pPr>
              <w:rPr>
                <w:rFonts w:ascii="Arial" w:hAnsi="Arial" w:cs="Arial"/>
                <w:sz w:val="20"/>
                <w:szCs w:val="20"/>
                <w:lang w:eastAsia="en-GB"/>
              </w:rPr>
            </w:pPr>
            <w:r>
              <w:rPr>
                <w:rFonts w:ascii="Arial" w:hAnsi="Arial" w:cs="Arial"/>
                <w:sz w:val="20"/>
                <w:szCs w:val="20"/>
                <w:lang w:eastAsia="en-GB"/>
              </w:rPr>
              <w:t>TPT Upgrade (W)</w:t>
            </w:r>
          </w:p>
        </w:tc>
        <w:tc>
          <w:tcPr>
            <w:tcW w:w="1060" w:type="dxa"/>
            <w:noWrap/>
            <w:tcMar>
              <w:top w:w="0" w:type="dxa"/>
              <w:left w:w="108" w:type="dxa"/>
              <w:bottom w:w="0" w:type="dxa"/>
              <w:right w:w="108" w:type="dxa"/>
            </w:tcMar>
            <w:vAlign w:val="bottom"/>
            <w:hideMark/>
          </w:tcPr>
          <w:p w:rsidR="000D0C22" w:rsidRDefault="000D0C22">
            <w:pPr>
              <w:jc w:val="right"/>
              <w:rPr>
                <w:rFonts w:ascii="Arial" w:hAnsi="Arial" w:cs="Arial"/>
                <w:sz w:val="20"/>
                <w:szCs w:val="20"/>
                <w:lang w:eastAsia="en-GB"/>
              </w:rPr>
            </w:pPr>
            <w:r>
              <w:rPr>
                <w:rFonts w:ascii="Arial" w:hAnsi="Arial" w:cs="Arial"/>
                <w:sz w:val="20"/>
                <w:szCs w:val="20"/>
                <w:lang w:eastAsia="en-GB"/>
              </w:rPr>
              <w:t>600</w:t>
            </w:r>
          </w:p>
        </w:tc>
      </w:tr>
      <w:tr w:rsidR="000D0C22" w:rsidTr="000D0C22">
        <w:trPr>
          <w:trHeight w:val="255"/>
          <w:jc w:val="center"/>
        </w:trPr>
        <w:tc>
          <w:tcPr>
            <w:tcW w:w="3660" w:type="dxa"/>
            <w:noWrap/>
            <w:tcMar>
              <w:top w:w="0" w:type="dxa"/>
              <w:left w:w="108" w:type="dxa"/>
              <w:bottom w:w="0" w:type="dxa"/>
              <w:right w:w="108" w:type="dxa"/>
            </w:tcMar>
            <w:vAlign w:val="bottom"/>
            <w:hideMark/>
          </w:tcPr>
          <w:p w:rsidR="000D0C22" w:rsidRDefault="000D0C22">
            <w:pPr>
              <w:rPr>
                <w:rFonts w:ascii="Arial" w:hAnsi="Arial" w:cs="Arial"/>
                <w:sz w:val="20"/>
                <w:szCs w:val="20"/>
                <w:lang w:eastAsia="en-GB"/>
              </w:rPr>
            </w:pPr>
            <w:r>
              <w:rPr>
                <w:rFonts w:ascii="Arial" w:hAnsi="Arial" w:cs="Arial"/>
                <w:sz w:val="20"/>
                <w:szCs w:val="20"/>
                <w:lang w:eastAsia="en-GB"/>
              </w:rPr>
              <w:t>Burtonwood (W)</w:t>
            </w:r>
          </w:p>
        </w:tc>
        <w:tc>
          <w:tcPr>
            <w:tcW w:w="1060" w:type="dxa"/>
            <w:noWrap/>
            <w:tcMar>
              <w:top w:w="0" w:type="dxa"/>
              <w:left w:w="108" w:type="dxa"/>
              <w:bottom w:w="0" w:type="dxa"/>
              <w:right w:w="108" w:type="dxa"/>
            </w:tcMar>
            <w:vAlign w:val="bottom"/>
            <w:hideMark/>
          </w:tcPr>
          <w:p w:rsidR="000D0C22" w:rsidRDefault="000D0C22">
            <w:pPr>
              <w:jc w:val="right"/>
              <w:rPr>
                <w:rFonts w:ascii="Arial" w:hAnsi="Arial" w:cs="Arial"/>
                <w:sz w:val="20"/>
                <w:szCs w:val="20"/>
                <w:lang w:eastAsia="en-GB"/>
              </w:rPr>
            </w:pPr>
            <w:r>
              <w:rPr>
                <w:rFonts w:ascii="Arial" w:hAnsi="Arial" w:cs="Arial"/>
                <w:sz w:val="20"/>
                <w:szCs w:val="20"/>
                <w:lang w:eastAsia="en-GB"/>
              </w:rPr>
              <w:t>500</w:t>
            </w:r>
          </w:p>
        </w:tc>
      </w:tr>
      <w:tr w:rsidR="000D0C22" w:rsidTr="000D0C22">
        <w:trPr>
          <w:trHeight w:val="255"/>
          <w:jc w:val="center"/>
        </w:trPr>
        <w:tc>
          <w:tcPr>
            <w:tcW w:w="3660" w:type="dxa"/>
            <w:noWrap/>
            <w:tcMar>
              <w:top w:w="0" w:type="dxa"/>
              <w:left w:w="108" w:type="dxa"/>
              <w:bottom w:w="0" w:type="dxa"/>
              <w:right w:w="108" w:type="dxa"/>
            </w:tcMar>
            <w:vAlign w:val="bottom"/>
            <w:hideMark/>
          </w:tcPr>
          <w:p w:rsidR="000D0C22" w:rsidRDefault="000D0C22">
            <w:pPr>
              <w:rPr>
                <w:rFonts w:ascii="Arial" w:hAnsi="Arial" w:cs="Arial"/>
                <w:sz w:val="20"/>
                <w:szCs w:val="20"/>
                <w:lang w:eastAsia="en-GB"/>
              </w:rPr>
            </w:pPr>
            <w:r>
              <w:rPr>
                <w:rFonts w:ascii="Arial" w:hAnsi="Arial" w:cs="Arial"/>
                <w:sz w:val="20"/>
                <w:szCs w:val="20"/>
                <w:lang w:eastAsia="en-GB"/>
              </w:rPr>
              <w:t xml:space="preserve">Chester </w:t>
            </w:r>
            <w:proofErr w:type="spellStart"/>
            <w:r>
              <w:rPr>
                <w:rFonts w:ascii="Arial" w:hAnsi="Arial" w:cs="Arial"/>
                <w:sz w:val="20"/>
                <w:szCs w:val="20"/>
                <w:lang w:eastAsia="en-GB"/>
              </w:rPr>
              <w:t>RRd</w:t>
            </w:r>
            <w:proofErr w:type="spellEnd"/>
            <w:r>
              <w:rPr>
                <w:rFonts w:ascii="Arial" w:hAnsi="Arial" w:cs="Arial"/>
                <w:sz w:val="20"/>
                <w:szCs w:val="20"/>
                <w:lang w:eastAsia="en-GB"/>
              </w:rPr>
              <w:t xml:space="preserve"> (W)</w:t>
            </w:r>
          </w:p>
        </w:tc>
        <w:tc>
          <w:tcPr>
            <w:tcW w:w="1060" w:type="dxa"/>
            <w:noWrap/>
            <w:tcMar>
              <w:top w:w="0" w:type="dxa"/>
              <w:left w:w="108" w:type="dxa"/>
              <w:bottom w:w="0" w:type="dxa"/>
              <w:right w:w="108" w:type="dxa"/>
            </w:tcMar>
            <w:vAlign w:val="bottom"/>
            <w:hideMark/>
          </w:tcPr>
          <w:p w:rsidR="000D0C22" w:rsidRDefault="000D0C22">
            <w:pPr>
              <w:jc w:val="right"/>
              <w:rPr>
                <w:rFonts w:ascii="Arial" w:hAnsi="Arial" w:cs="Arial"/>
                <w:sz w:val="20"/>
                <w:szCs w:val="20"/>
                <w:lang w:eastAsia="en-GB"/>
              </w:rPr>
            </w:pPr>
            <w:r>
              <w:rPr>
                <w:rFonts w:ascii="Arial" w:hAnsi="Arial" w:cs="Arial"/>
                <w:sz w:val="20"/>
                <w:szCs w:val="20"/>
                <w:lang w:eastAsia="en-GB"/>
              </w:rPr>
              <w:t>600</w:t>
            </w:r>
          </w:p>
        </w:tc>
      </w:tr>
      <w:tr w:rsidR="000D0C22" w:rsidTr="000D0C22">
        <w:trPr>
          <w:trHeight w:val="255"/>
          <w:jc w:val="center"/>
        </w:trPr>
        <w:tc>
          <w:tcPr>
            <w:tcW w:w="3660" w:type="dxa"/>
            <w:noWrap/>
            <w:tcMar>
              <w:top w:w="0" w:type="dxa"/>
              <w:left w:w="108" w:type="dxa"/>
              <w:bottom w:w="0" w:type="dxa"/>
              <w:right w:w="108" w:type="dxa"/>
            </w:tcMar>
            <w:vAlign w:val="bottom"/>
            <w:hideMark/>
          </w:tcPr>
          <w:p w:rsidR="000D0C22" w:rsidRDefault="000D0C22">
            <w:pPr>
              <w:rPr>
                <w:rFonts w:ascii="Arial" w:hAnsi="Arial" w:cs="Arial"/>
                <w:sz w:val="20"/>
                <w:szCs w:val="20"/>
                <w:lang w:eastAsia="en-GB"/>
              </w:rPr>
            </w:pPr>
            <w:r>
              <w:rPr>
                <w:rFonts w:ascii="Arial" w:hAnsi="Arial" w:cs="Arial"/>
                <w:sz w:val="20"/>
                <w:szCs w:val="20"/>
                <w:lang w:eastAsia="en-GB"/>
              </w:rPr>
              <w:t>NW Crewe (CE)</w:t>
            </w:r>
          </w:p>
        </w:tc>
        <w:tc>
          <w:tcPr>
            <w:tcW w:w="1060" w:type="dxa"/>
            <w:noWrap/>
            <w:tcMar>
              <w:top w:w="0" w:type="dxa"/>
              <w:left w:w="108" w:type="dxa"/>
              <w:bottom w:w="0" w:type="dxa"/>
              <w:right w:w="108" w:type="dxa"/>
            </w:tcMar>
            <w:vAlign w:val="bottom"/>
            <w:hideMark/>
          </w:tcPr>
          <w:p w:rsidR="000D0C22" w:rsidRDefault="000D0C22">
            <w:pPr>
              <w:jc w:val="right"/>
              <w:rPr>
                <w:rFonts w:ascii="Arial" w:hAnsi="Arial" w:cs="Arial"/>
                <w:sz w:val="20"/>
                <w:szCs w:val="20"/>
                <w:lang w:eastAsia="en-GB"/>
              </w:rPr>
            </w:pPr>
            <w:r>
              <w:rPr>
                <w:rFonts w:ascii="Arial" w:hAnsi="Arial" w:cs="Arial"/>
                <w:sz w:val="20"/>
                <w:szCs w:val="20"/>
                <w:lang w:eastAsia="en-GB"/>
              </w:rPr>
              <w:t>1100</w:t>
            </w:r>
          </w:p>
        </w:tc>
      </w:tr>
      <w:tr w:rsidR="000D0C22" w:rsidTr="000D0C22">
        <w:trPr>
          <w:trHeight w:val="255"/>
          <w:jc w:val="center"/>
        </w:trPr>
        <w:tc>
          <w:tcPr>
            <w:tcW w:w="3660" w:type="dxa"/>
            <w:noWrap/>
            <w:tcMar>
              <w:top w:w="0" w:type="dxa"/>
              <w:left w:w="108" w:type="dxa"/>
              <w:bottom w:w="0" w:type="dxa"/>
              <w:right w:w="108" w:type="dxa"/>
            </w:tcMar>
            <w:vAlign w:val="bottom"/>
            <w:hideMark/>
          </w:tcPr>
          <w:p w:rsidR="000D0C22" w:rsidRDefault="000D0C22">
            <w:pPr>
              <w:rPr>
                <w:rFonts w:ascii="Arial" w:hAnsi="Arial" w:cs="Arial"/>
                <w:sz w:val="20"/>
                <w:szCs w:val="20"/>
                <w:lang w:eastAsia="en-GB"/>
              </w:rPr>
            </w:pPr>
            <w:r>
              <w:rPr>
                <w:rFonts w:ascii="Arial" w:hAnsi="Arial" w:cs="Arial"/>
                <w:sz w:val="20"/>
                <w:szCs w:val="20"/>
                <w:lang w:eastAsia="en-GB"/>
              </w:rPr>
              <w:t>Station View &amp; Towpath (</w:t>
            </w:r>
            <w:proofErr w:type="spellStart"/>
            <w:r>
              <w:rPr>
                <w:rFonts w:ascii="Arial" w:hAnsi="Arial" w:cs="Arial"/>
                <w:sz w:val="20"/>
                <w:szCs w:val="20"/>
                <w:lang w:eastAsia="en-GB"/>
              </w:rPr>
              <w:t>CWaC</w:t>
            </w:r>
            <w:proofErr w:type="spellEnd"/>
            <w:r>
              <w:rPr>
                <w:rFonts w:ascii="Arial" w:hAnsi="Arial" w:cs="Arial"/>
                <w:sz w:val="20"/>
                <w:szCs w:val="20"/>
                <w:lang w:eastAsia="en-GB"/>
              </w:rPr>
              <w:t>)</w:t>
            </w:r>
          </w:p>
        </w:tc>
        <w:tc>
          <w:tcPr>
            <w:tcW w:w="1060" w:type="dxa"/>
            <w:noWrap/>
            <w:tcMar>
              <w:top w:w="0" w:type="dxa"/>
              <w:left w:w="108" w:type="dxa"/>
              <w:bottom w:w="0" w:type="dxa"/>
              <w:right w:w="108" w:type="dxa"/>
            </w:tcMar>
            <w:vAlign w:val="bottom"/>
            <w:hideMark/>
          </w:tcPr>
          <w:p w:rsidR="000D0C22" w:rsidRDefault="000D0C22">
            <w:pPr>
              <w:jc w:val="right"/>
              <w:rPr>
                <w:rFonts w:ascii="Arial" w:hAnsi="Arial" w:cs="Arial"/>
                <w:sz w:val="20"/>
                <w:szCs w:val="20"/>
                <w:lang w:eastAsia="en-GB"/>
              </w:rPr>
            </w:pPr>
            <w:r>
              <w:rPr>
                <w:rFonts w:ascii="Arial" w:hAnsi="Arial" w:cs="Arial"/>
                <w:sz w:val="20"/>
                <w:szCs w:val="20"/>
                <w:lang w:eastAsia="en-GB"/>
              </w:rPr>
              <w:t>680</w:t>
            </w:r>
          </w:p>
        </w:tc>
      </w:tr>
      <w:tr w:rsidR="000D0C22" w:rsidTr="000D0C22">
        <w:trPr>
          <w:trHeight w:val="255"/>
          <w:jc w:val="center"/>
        </w:trPr>
        <w:tc>
          <w:tcPr>
            <w:tcW w:w="3660" w:type="dxa"/>
            <w:noWrap/>
            <w:tcMar>
              <w:top w:w="0" w:type="dxa"/>
              <w:left w:w="108" w:type="dxa"/>
              <w:bottom w:w="0" w:type="dxa"/>
              <w:right w:w="108" w:type="dxa"/>
            </w:tcMar>
            <w:vAlign w:val="bottom"/>
            <w:hideMark/>
          </w:tcPr>
          <w:p w:rsidR="000D0C22" w:rsidRDefault="000D0C22">
            <w:pPr>
              <w:jc w:val="right"/>
              <w:rPr>
                <w:rFonts w:ascii="Arial" w:hAnsi="Arial" w:cs="Arial"/>
                <w:b/>
                <w:bCs/>
                <w:sz w:val="20"/>
                <w:szCs w:val="20"/>
                <w:lang w:eastAsia="en-GB"/>
              </w:rPr>
            </w:pPr>
            <w:r>
              <w:rPr>
                <w:rFonts w:ascii="Arial" w:hAnsi="Arial" w:cs="Arial"/>
                <w:b/>
                <w:bCs/>
                <w:sz w:val="20"/>
                <w:szCs w:val="20"/>
                <w:lang w:eastAsia="en-GB"/>
              </w:rPr>
              <w:t>Total</w:t>
            </w:r>
          </w:p>
        </w:tc>
        <w:tc>
          <w:tcPr>
            <w:tcW w:w="1060" w:type="dxa"/>
            <w:noWrap/>
            <w:tcMar>
              <w:top w:w="0" w:type="dxa"/>
              <w:left w:w="108" w:type="dxa"/>
              <w:bottom w:w="0" w:type="dxa"/>
              <w:right w:w="108" w:type="dxa"/>
            </w:tcMar>
            <w:vAlign w:val="bottom"/>
            <w:hideMark/>
          </w:tcPr>
          <w:p w:rsidR="000D0C22" w:rsidRDefault="000D0C22">
            <w:pPr>
              <w:jc w:val="right"/>
              <w:rPr>
                <w:rFonts w:ascii="Arial" w:hAnsi="Arial" w:cs="Arial"/>
                <w:sz w:val="20"/>
                <w:szCs w:val="20"/>
                <w:lang w:eastAsia="en-GB"/>
              </w:rPr>
            </w:pPr>
            <w:r>
              <w:rPr>
                <w:rFonts w:ascii="Arial" w:hAnsi="Arial" w:cs="Arial"/>
                <w:sz w:val="20"/>
                <w:szCs w:val="20"/>
                <w:lang w:eastAsia="en-GB"/>
              </w:rPr>
              <w:t>5000</w:t>
            </w:r>
          </w:p>
        </w:tc>
      </w:tr>
    </w:tbl>
    <w:p w:rsidR="000D0C22" w:rsidRDefault="000D0C22" w:rsidP="00996C8C">
      <w:pPr>
        <w:jc w:val="both"/>
        <w:rPr>
          <w:rFonts w:cs="Calibri"/>
        </w:rPr>
      </w:pPr>
    </w:p>
    <w:p w:rsidR="003F7CE2" w:rsidRDefault="003F7CE2" w:rsidP="00996C8C">
      <w:pPr>
        <w:jc w:val="both"/>
        <w:rPr>
          <w:rFonts w:cs="Calibri"/>
          <w:b/>
        </w:rPr>
      </w:pPr>
      <w:r>
        <w:rPr>
          <w:rFonts w:cs="Calibri"/>
          <w:b/>
        </w:rPr>
        <w:t>The</w:t>
      </w:r>
      <w:r w:rsidRPr="003F7CE2">
        <w:rPr>
          <w:rFonts w:cs="Calibri"/>
          <w:b/>
        </w:rPr>
        <w:t xml:space="preserve"> P&amp;I</w:t>
      </w:r>
      <w:r>
        <w:rPr>
          <w:rFonts w:cs="Calibri"/>
          <w:b/>
        </w:rPr>
        <w:t xml:space="preserve"> committee</w:t>
      </w:r>
      <w:r w:rsidRPr="003F7CE2">
        <w:rPr>
          <w:rFonts w:cs="Calibri"/>
          <w:b/>
        </w:rPr>
        <w:t xml:space="preserve"> are also requested to approve in principle the projects listed above and allocation of funding.</w:t>
      </w:r>
    </w:p>
    <w:p w:rsidR="00F06273" w:rsidRPr="00F06273" w:rsidRDefault="00F06273" w:rsidP="00F06273">
      <w:pPr>
        <w:jc w:val="both"/>
        <w:rPr>
          <w:rFonts w:cs="Calibri"/>
          <w:b/>
        </w:rPr>
      </w:pPr>
      <w:r w:rsidRPr="00F06273">
        <w:rPr>
          <w:rFonts w:cs="Calibri"/>
          <w:b/>
        </w:rPr>
        <w:t>Please see Appendix A for more detailed breakdown of the projects.</w:t>
      </w:r>
    </w:p>
    <w:p w:rsidR="003F7CE2" w:rsidRDefault="003F7CE2" w:rsidP="00996C8C">
      <w:pPr>
        <w:jc w:val="both"/>
        <w:rPr>
          <w:rFonts w:cs="Calibri"/>
        </w:rPr>
      </w:pPr>
      <w:r>
        <w:rPr>
          <w:rFonts w:cs="Calibri"/>
        </w:rPr>
        <w:t xml:space="preserve">One these approvals are in place the local authorities will be invited to work up the projects using a short form business case template and to have each project independently appraised, using a template provided by the LEP. </w:t>
      </w:r>
    </w:p>
    <w:p w:rsidR="0064301A" w:rsidRDefault="0064301A" w:rsidP="00996C8C">
      <w:pPr>
        <w:jc w:val="both"/>
        <w:rPr>
          <w:rFonts w:cs="Calibri"/>
        </w:rPr>
      </w:pPr>
    </w:p>
    <w:p w:rsidR="002B33FD" w:rsidRDefault="002B33FD" w:rsidP="00996C8C">
      <w:pPr>
        <w:jc w:val="both"/>
        <w:rPr>
          <w:rFonts w:cs="Calibri"/>
        </w:rPr>
      </w:pPr>
    </w:p>
    <w:p w:rsidR="006227E3" w:rsidRDefault="006227E3" w:rsidP="00996C8C">
      <w:pPr>
        <w:pStyle w:val="ListParagraph"/>
        <w:numPr>
          <w:ilvl w:val="0"/>
          <w:numId w:val="21"/>
        </w:numPr>
        <w:spacing w:line="254" w:lineRule="auto"/>
        <w:jc w:val="both"/>
        <w:rPr>
          <w:rFonts w:cs="Calibri"/>
          <w:b/>
        </w:rPr>
      </w:pPr>
      <w:r>
        <w:rPr>
          <w:rFonts w:cs="Calibri"/>
          <w:b/>
        </w:rPr>
        <w:t>Transport Projects</w:t>
      </w:r>
    </w:p>
    <w:p w:rsidR="006227E3" w:rsidRDefault="006227E3" w:rsidP="006227E3">
      <w:pPr>
        <w:pStyle w:val="ListParagraph"/>
        <w:numPr>
          <w:ilvl w:val="1"/>
          <w:numId w:val="21"/>
        </w:numPr>
        <w:spacing w:line="254" w:lineRule="auto"/>
        <w:jc w:val="both"/>
        <w:rPr>
          <w:rFonts w:cs="Calibri"/>
          <w:b/>
        </w:rPr>
      </w:pPr>
      <w:r>
        <w:rPr>
          <w:rFonts w:cs="Calibri"/>
          <w:b/>
        </w:rPr>
        <w:t>A500</w:t>
      </w:r>
    </w:p>
    <w:p w:rsidR="000A3487" w:rsidRPr="006B7963" w:rsidRDefault="000A3487" w:rsidP="000A3487">
      <w:pPr>
        <w:spacing w:line="254" w:lineRule="auto"/>
        <w:jc w:val="both"/>
        <w:rPr>
          <w:rFonts w:cs="Calibri"/>
        </w:rPr>
      </w:pPr>
      <w:r w:rsidRPr="000A3487">
        <w:rPr>
          <w:rFonts w:cs="Calibri"/>
        </w:rPr>
        <w:t>Traffic modelling work is still ongoing.  M</w:t>
      </w:r>
      <w:r>
        <w:rPr>
          <w:rFonts w:cs="Calibri"/>
        </w:rPr>
        <w:t>i</w:t>
      </w:r>
      <w:r w:rsidRPr="000A3487">
        <w:rPr>
          <w:rFonts w:cs="Calibri"/>
        </w:rPr>
        <w:t>ddlemoss Roundabout will need to be enlarged.  The option with the greatest land take will be used for the planning application.  Both the planning application and Outline Business case are due to be completed in June.</w:t>
      </w:r>
    </w:p>
    <w:p w:rsidR="006227E3" w:rsidRDefault="000A3487" w:rsidP="006227E3">
      <w:pPr>
        <w:pStyle w:val="ListParagraph"/>
        <w:numPr>
          <w:ilvl w:val="1"/>
          <w:numId w:val="21"/>
        </w:numPr>
        <w:spacing w:line="254" w:lineRule="auto"/>
        <w:jc w:val="both"/>
        <w:rPr>
          <w:rFonts w:cs="Calibri"/>
          <w:b/>
        </w:rPr>
      </w:pPr>
      <w:r>
        <w:rPr>
          <w:rFonts w:cs="Calibri"/>
          <w:b/>
        </w:rPr>
        <w:t>Middlewich Bypass</w:t>
      </w:r>
    </w:p>
    <w:p w:rsidR="006B7963" w:rsidRPr="006B7963" w:rsidRDefault="006B7963" w:rsidP="006B7963">
      <w:pPr>
        <w:spacing w:line="254" w:lineRule="auto"/>
        <w:jc w:val="both"/>
        <w:rPr>
          <w:rFonts w:cs="Calibri"/>
        </w:rPr>
      </w:pPr>
      <w:r w:rsidRPr="006B7963">
        <w:rPr>
          <w:rFonts w:cs="Calibri"/>
        </w:rPr>
        <w:t xml:space="preserve">Works </w:t>
      </w:r>
      <w:r w:rsidR="00645DD1">
        <w:rPr>
          <w:rFonts w:cs="Calibri"/>
        </w:rPr>
        <w:t xml:space="preserve">is </w:t>
      </w:r>
      <w:r w:rsidRPr="006B7963">
        <w:rPr>
          <w:rFonts w:cs="Calibri"/>
        </w:rPr>
        <w:t xml:space="preserve">progressing through design </w:t>
      </w:r>
      <w:r w:rsidR="00645DD1" w:rsidRPr="006B7963">
        <w:rPr>
          <w:rFonts w:cs="Calibri"/>
        </w:rPr>
        <w:t>phase and</w:t>
      </w:r>
      <w:r w:rsidRPr="006B7963">
        <w:rPr>
          <w:rFonts w:cs="Calibri"/>
        </w:rPr>
        <w:t xml:space="preserve"> towards submission of planning application in June</w:t>
      </w:r>
      <w:r w:rsidR="002749E3">
        <w:rPr>
          <w:rFonts w:cs="Calibri"/>
        </w:rPr>
        <w:t xml:space="preserve"> </w:t>
      </w:r>
      <w:r w:rsidRPr="006B7963">
        <w:rPr>
          <w:rFonts w:cs="Calibri"/>
        </w:rPr>
        <w:t>18.  Environmental site surveys progress on site and Planning Performance Agreement is in preparation for exchange with CEC.  Traffic modelling, engineering design and consultation/Comms work is proceeding in preparation for Preferred Route consultation in Spring 18.</w:t>
      </w:r>
    </w:p>
    <w:p w:rsidR="00996C8C" w:rsidRDefault="00996C8C" w:rsidP="00996C8C">
      <w:pPr>
        <w:pStyle w:val="ListParagraph"/>
        <w:numPr>
          <w:ilvl w:val="0"/>
          <w:numId w:val="21"/>
        </w:numPr>
        <w:spacing w:line="254" w:lineRule="auto"/>
        <w:jc w:val="both"/>
        <w:rPr>
          <w:rFonts w:cs="Calibri"/>
          <w:b/>
        </w:rPr>
      </w:pPr>
      <w:r>
        <w:rPr>
          <w:rFonts w:cs="Calibri"/>
          <w:b/>
        </w:rPr>
        <w:t>Growing Places Fund (GPF) Update</w:t>
      </w:r>
    </w:p>
    <w:p w:rsidR="00996C8C" w:rsidRDefault="00996C8C" w:rsidP="00996C8C">
      <w:pPr>
        <w:pStyle w:val="ListParagraph"/>
        <w:numPr>
          <w:ilvl w:val="1"/>
          <w:numId w:val="21"/>
        </w:numPr>
        <w:spacing w:line="254" w:lineRule="auto"/>
        <w:jc w:val="both"/>
        <w:rPr>
          <w:rFonts w:cs="Calibri"/>
          <w:b/>
        </w:rPr>
      </w:pPr>
      <w:r>
        <w:rPr>
          <w:rFonts w:cs="Calibri"/>
          <w:b/>
        </w:rPr>
        <w:t>Cheshire Green</w:t>
      </w:r>
    </w:p>
    <w:p w:rsidR="00996C8C" w:rsidRDefault="00996C8C" w:rsidP="00A9633B">
      <w:pPr>
        <w:pStyle w:val="NormalWeb"/>
      </w:pPr>
      <w:r>
        <w:t xml:space="preserve">The project is progressing </w:t>
      </w:r>
      <w:proofErr w:type="gramStart"/>
      <w:r w:rsidR="00BF4D20">
        <w:t>really well</w:t>
      </w:r>
      <w:proofErr w:type="gramEnd"/>
      <w:r w:rsidR="00BF4D20">
        <w:t xml:space="preserve">.  The first phase of infrastructure works </w:t>
      </w:r>
      <w:proofErr w:type="gramStart"/>
      <w:r w:rsidR="00BF4D20">
        <w:t>are</w:t>
      </w:r>
      <w:proofErr w:type="gramEnd"/>
      <w:r w:rsidR="00BF4D20">
        <w:t xml:space="preserve"> complete </w:t>
      </w:r>
      <w:r w:rsidR="00A9633B">
        <w:t>with the second phase due to start in June.  There has been strong interest in the site with over 15 acres currently in various stages of being sold.</w:t>
      </w:r>
    </w:p>
    <w:p w:rsidR="00A9633B" w:rsidRDefault="00A9633B" w:rsidP="00A9633B">
      <w:pPr>
        <w:pStyle w:val="NormalWeb"/>
      </w:pPr>
    </w:p>
    <w:p w:rsidR="00996C8C" w:rsidRDefault="00996C8C" w:rsidP="00996C8C">
      <w:pPr>
        <w:pStyle w:val="ListParagraph"/>
        <w:numPr>
          <w:ilvl w:val="1"/>
          <w:numId w:val="21"/>
        </w:numPr>
        <w:spacing w:line="254" w:lineRule="auto"/>
        <w:jc w:val="both"/>
        <w:rPr>
          <w:rFonts w:cs="Calibri"/>
          <w:b/>
        </w:rPr>
      </w:pPr>
      <w:r>
        <w:rPr>
          <w:rFonts w:cs="Calibri"/>
          <w:b/>
        </w:rPr>
        <w:t>Further applications</w:t>
      </w:r>
    </w:p>
    <w:p w:rsidR="006B7963" w:rsidRDefault="00E250C4" w:rsidP="006B7963">
      <w:pPr>
        <w:spacing w:line="254" w:lineRule="auto"/>
        <w:jc w:val="both"/>
        <w:rPr>
          <w:rFonts w:cs="Calibri"/>
        </w:rPr>
      </w:pPr>
      <w:r w:rsidRPr="00A308B3">
        <w:rPr>
          <w:rFonts w:cs="Calibri"/>
        </w:rPr>
        <w:t xml:space="preserve">Heads of terms have been drawn up for the sub-station project.  Approval of the </w:t>
      </w:r>
      <w:r w:rsidR="00A308B3" w:rsidRPr="00A308B3">
        <w:rPr>
          <w:rFonts w:cs="Calibri"/>
        </w:rPr>
        <w:t>loan</w:t>
      </w:r>
      <w:r w:rsidRPr="00A308B3">
        <w:rPr>
          <w:rFonts w:cs="Calibri"/>
        </w:rPr>
        <w:t xml:space="preserve"> is likely to be sought from P&amp;I in April.</w:t>
      </w:r>
    </w:p>
    <w:p w:rsidR="00A308B3" w:rsidRPr="00A308B3" w:rsidRDefault="00A308B3" w:rsidP="006B7963">
      <w:pPr>
        <w:spacing w:line="254" w:lineRule="auto"/>
        <w:jc w:val="both"/>
        <w:rPr>
          <w:rFonts w:cs="Calibri"/>
        </w:rPr>
      </w:pPr>
      <w:r>
        <w:rPr>
          <w:rFonts w:cs="Calibri"/>
        </w:rPr>
        <w:t>An application from a property management company for grant funding towards the cost of a new build has been received and is under consideration.</w:t>
      </w:r>
    </w:p>
    <w:p w:rsidR="007B7F30" w:rsidRDefault="00996C8C" w:rsidP="00862630">
      <w:pPr>
        <w:pStyle w:val="ListParagraph"/>
        <w:numPr>
          <w:ilvl w:val="0"/>
          <w:numId w:val="21"/>
        </w:numPr>
        <w:jc w:val="both"/>
        <w:rPr>
          <w:rFonts w:cstheme="minorHAnsi"/>
          <w:b/>
          <w:sz w:val="24"/>
          <w:szCs w:val="24"/>
        </w:rPr>
      </w:pPr>
      <w:r w:rsidRPr="00862630">
        <w:rPr>
          <w:rFonts w:cstheme="minorHAnsi"/>
          <w:b/>
          <w:sz w:val="24"/>
          <w:szCs w:val="24"/>
        </w:rPr>
        <w:t xml:space="preserve">Finance </w:t>
      </w:r>
    </w:p>
    <w:p w:rsidR="00621B2C" w:rsidRDefault="00621B2C" w:rsidP="00621B2C">
      <w:pPr>
        <w:jc w:val="both"/>
        <w:rPr>
          <w:rFonts w:cstheme="minorHAnsi"/>
          <w:sz w:val="24"/>
          <w:szCs w:val="24"/>
        </w:rPr>
      </w:pPr>
      <w:r w:rsidRPr="00621B2C">
        <w:rPr>
          <w:rFonts w:cstheme="minorHAnsi"/>
          <w:sz w:val="24"/>
          <w:szCs w:val="24"/>
        </w:rPr>
        <w:t xml:space="preserve">The funding profile on </w:t>
      </w:r>
      <w:proofErr w:type="gramStart"/>
      <w:r w:rsidRPr="00621B2C">
        <w:rPr>
          <w:rFonts w:cstheme="minorHAnsi"/>
          <w:sz w:val="24"/>
          <w:szCs w:val="24"/>
        </w:rPr>
        <w:t>a number of</w:t>
      </w:r>
      <w:proofErr w:type="gramEnd"/>
      <w:r w:rsidRPr="00621B2C">
        <w:rPr>
          <w:rFonts w:cstheme="minorHAnsi"/>
          <w:sz w:val="24"/>
          <w:szCs w:val="24"/>
        </w:rPr>
        <w:t xml:space="preserve"> projects has continued to slip which has been disappointing.  It seems that it is the LGF that is used by many projects to help manage their own funding issues, while this is frustrating and difficult to manage it is not having a big adverse impact on our programme overall as we were able to meet the important LGF1/2 profile figure in September.  The funding that has pushed the LGF into next year in many case has had to be spent this year or will be lost and that isn’t in the interests of the LEP to see funding lost.</w:t>
      </w:r>
    </w:p>
    <w:p w:rsidR="00DE35B2" w:rsidRDefault="00DE35B2" w:rsidP="00621B2C">
      <w:pPr>
        <w:jc w:val="both"/>
        <w:rPr>
          <w:rFonts w:cstheme="minorHAnsi"/>
          <w:sz w:val="24"/>
          <w:szCs w:val="24"/>
        </w:rPr>
      </w:pPr>
      <w:r>
        <w:rPr>
          <w:rFonts w:cstheme="minorHAnsi"/>
          <w:sz w:val="24"/>
          <w:szCs w:val="24"/>
        </w:rPr>
        <w:t xml:space="preserve">While there has been a lot of slippage over the last few months, we have looked at ways to increase spend this year.  We have by agreement claimed the CEC contribution to the Life Sciences Fund for the first two claims, which was just over £1m.  If Warrington East is </w:t>
      </w:r>
      <w:proofErr w:type="gramStart"/>
      <w:r>
        <w:rPr>
          <w:rFonts w:cstheme="minorHAnsi"/>
          <w:sz w:val="24"/>
          <w:szCs w:val="24"/>
        </w:rPr>
        <w:t>approved</w:t>
      </w:r>
      <w:proofErr w:type="gramEnd"/>
      <w:r>
        <w:rPr>
          <w:rFonts w:cstheme="minorHAnsi"/>
          <w:sz w:val="24"/>
          <w:szCs w:val="24"/>
        </w:rPr>
        <w:t xml:space="preserve"> we will pay all the costs to date this year which are estimated at £1.2m and now that the CPO on Warrington Centre Park Link is fully funded we can start paying claims on that project again so should achieve spend of approximately £4.6m for the quarter taking the spend for the year to over £16m.</w:t>
      </w:r>
    </w:p>
    <w:p w:rsidR="00F76B1C" w:rsidRDefault="00DE35B2" w:rsidP="00621B2C">
      <w:pPr>
        <w:jc w:val="both"/>
        <w:rPr>
          <w:rFonts w:cstheme="minorHAnsi"/>
          <w:sz w:val="24"/>
          <w:szCs w:val="24"/>
        </w:rPr>
      </w:pPr>
      <w:r>
        <w:rPr>
          <w:rFonts w:cstheme="minorHAnsi"/>
          <w:sz w:val="24"/>
          <w:szCs w:val="24"/>
        </w:rPr>
        <w:t>Spend is likely to ramp up very quickly over the coming months as several large projects start on site.</w:t>
      </w:r>
      <w:r w:rsidR="00F76B1C">
        <w:rPr>
          <w:rFonts w:cstheme="minorHAnsi"/>
          <w:sz w:val="24"/>
          <w:szCs w:val="24"/>
        </w:rPr>
        <w:t xml:space="preserve">  The combined BEIS profile for next year is £16m and this amount will be paid to the </w:t>
      </w:r>
      <w:r w:rsidR="00F76B1C">
        <w:rPr>
          <w:rFonts w:cstheme="minorHAnsi"/>
          <w:sz w:val="24"/>
          <w:szCs w:val="24"/>
        </w:rPr>
        <w:lastRenderedPageBreak/>
        <w:t xml:space="preserve">LEP at the beginning of April.  </w:t>
      </w:r>
      <w:r w:rsidR="00621B2C" w:rsidRPr="00621B2C">
        <w:rPr>
          <w:rFonts w:cstheme="minorHAnsi"/>
          <w:sz w:val="24"/>
          <w:szCs w:val="24"/>
        </w:rPr>
        <w:t xml:space="preserve">The funding profile of all projects will be updated in </w:t>
      </w:r>
      <w:proofErr w:type="gramStart"/>
      <w:r w:rsidR="00621B2C" w:rsidRPr="00621B2C">
        <w:rPr>
          <w:rFonts w:cstheme="minorHAnsi"/>
          <w:sz w:val="24"/>
          <w:szCs w:val="24"/>
        </w:rPr>
        <w:t>April</w:t>
      </w:r>
      <w:proofErr w:type="gramEnd"/>
      <w:r w:rsidR="00621B2C" w:rsidRPr="00621B2C">
        <w:rPr>
          <w:rFonts w:cstheme="minorHAnsi"/>
          <w:sz w:val="24"/>
          <w:szCs w:val="24"/>
        </w:rPr>
        <w:t xml:space="preserve"> so we have a clearer idea of how much will be spent by year</w:t>
      </w:r>
      <w:r w:rsidR="00F76B1C">
        <w:rPr>
          <w:rFonts w:cstheme="minorHAnsi"/>
          <w:sz w:val="24"/>
          <w:szCs w:val="24"/>
        </w:rPr>
        <w:t>, but at the moment it looks like we should spend over £20m.</w:t>
      </w:r>
    </w:p>
    <w:p w:rsidR="00621B2C" w:rsidRPr="00621B2C" w:rsidRDefault="00621B2C" w:rsidP="00621B2C">
      <w:pPr>
        <w:jc w:val="both"/>
        <w:rPr>
          <w:rFonts w:cstheme="minorHAnsi"/>
          <w:sz w:val="24"/>
          <w:szCs w:val="24"/>
        </w:rPr>
      </w:pPr>
      <w:r w:rsidRPr="00621B2C">
        <w:rPr>
          <w:rFonts w:cstheme="minorHAnsi"/>
          <w:sz w:val="24"/>
          <w:szCs w:val="24"/>
        </w:rPr>
        <w:t xml:space="preserve">The latest profile is </w:t>
      </w:r>
      <w:r w:rsidR="00DE35B2">
        <w:rPr>
          <w:rFonts w:cstheme="minorHAnsi"/>
          <w:sz w:val="24"/>
          <w:szCs w:val="24"/>
        </w:rPr>
        <w:t>included with the papers.</w:t>
      </w:r>
    </w:p>
    <w:p w:rsidR="007B7F30" w:rsidRPr="009D6AFA" w:rsidRDefault="00996C8C" w:rsidP="009D6AFA">
      <w:pPr>
        <w:pStyle w:val="ListParagraph"/>
        <w:numPr>
          <w:ilvl w:val="0"/>
          <w:numId w:val="21"/>
        </w:numPr>
        <w:jc w:val="both"/>
        <w:rPr>
          <w:rFonts w:cstheme="minorHAnsi"/>
          <w:b/>
          <w:sz w:val="24"/>
          <w:szCs w:val="24"/>
        </w:rPr>
      </w:pPr>
      <w:r w:rsidRPr="009D6AFA">
        <w:rPr>
          <w:b/>
          <w:noProof/>
          <w:lang w:eastAsia="en-GB"/>
        </w:rPr>
        <w:t>Outputs</w:t>
      </w:r>
    </w:p>
    <w:p w:rsidR="00E05776" w:rsidRPr="00DE35B2" w:rsidRDefault="00805420" w:rsidP="00DE35B2">
      <w:pPr>
        <w:jc w:val="both"/>
        <w:rPr>
          <w:rFonts w:cstheme="minorHAnsi"/>
          <w:sz w:val="24"/>
          <w:szCs w:val="24"/>
        </w:rPr>
      </w:pPr>
      <w:r w:rsidRPr="00DE35B2">
        <w:rPr>
          <w:rFonts w:cstheme="minorHAnsi"/>
          <w:sz w:val="24"/>
          <w:szCs w:val="24"/>
        </w:rPr>
        <w:t xml:space="preserve">BEIS are still waiting for clarification of what impact sites can be counted on LGF projects.  </w:t>
      </w:r>
      <w:proofErr w:type="gramStart"/>
      <w:r w:rsidRPr="00DE35B2">
        <w:rPr>
          <w:rFonts w:cstheme="minorHAnsi"/>
          <w:sz w:val="24"/>
          <w:szCs w:val="24"/>
        </w:rPr>
        <w:t>Therefore</w:t>
      </w:r>
      <w:proofErr w:type="gramEnd"/>
      <w:r w:rsidRPr="00DE35B2">
        <w:rPr>
          <w:rFonts w:cstheme="minorHAnsi"/>
          <w:sz w:val="24"/>
          <w:szCs w:val="24"/>
        </w:rPr>
        <w:t xml:space="preserve"> for now, the outputs achieved at Omega </w:t>
      </w:r>
      <w:r w:rsidR="00645DD1" w:rsidRPr="00DE35B2">
        <w:rPr>
          <w:rFonts w:cstheme="minorHAnsi"/>
          <w:sz w:val="24"/>
          <w:szCs w:val="24"/>
        </w:rPr>
        <w:t xml:space="preserve">have been taken out of the figures </w:t>
      </w:r>
      <w:r w:rsidRPr="00DE35B2">
        <w:rPr>
          <w:rFonts w:cstheme="minorHAnsi"/>
          <w:sz w:val="24"/>
          <w:szCs w:val="24"/>
        </w:rPr>
        <w:t>below, but the houses already built around the site of Warrington West Station are</w:t>
      </w:r>
      <w:r w:rsidR="00645DD1" w:rsidRPr="00DE35B2">
        <w:rPr>
          <w:rFonts w:cstheme="minorHAnsi"/>
          <w:sz w:val="24"/>
          <w:szCs w:val="24"/>
        </w:rPr>
        <w:t xml:space="preserve"> included.</w:t>
      </w:r>
      <w:r w:rsidR="000A3C40" w:rsidRPr="00DE35B2">
        <w:rPr>
          <w:rFonts w:cstheme="minorHAnsi"/>
          <w:sz w:val="24"/>
          <w:szCs w:val="24"/>
        </w:rPr>
        <w:t xml:space="preserve">  </w:t>
      </w:r>
    </w:p>
    <w:p w:rsidR="006B2A3B" w:rsidRDefault="006B2A3B" w:rsidP="00E05776">
      <w:pPr>
        <w:spacing w:after="0" w:line="240" w:lineRule="auto"/>
        <w:jc w:val="both"/>
        <w:rPr>
          <w:rFonts w:cstheme="minorHAnsi"/>
        </w:rPr>
      </w:pPr>
    </w:p>
    <w:p w:rsidR="006B2A3B" w:rsidRDefault="006B2A3B" w:rsidP="00E05776">
      <w:pPr>
        <w:spacing w:after="0" w:line="240" w:lineRule="auto"/>
        <w:jc w:val="both"/>
        <w:rPr>
          <w:rFonts w:cstheme="minorHAnsi"/>
        </w:rPr>
      </w:pPr>
    </w:p>
    <w:p w:rsidR="00805420" w:rsidRPr="00C6647E" w:rsidRDefault="00805420" w:rsidP="00E05776">
      <w:pPr>
        <w:spacing w:after="0" w:line="240" w:lineRule="auto"/>
        <w:jc w:val="both"/>
        <w:rPr>
          <w:rFonts w:ascii="Calibri" w:eastAsia="Times New Roman" w:hAnsi="Calibri" w:cs="Calibri"/>
          <w:color w:val="000000"/>
          <w:lang w:eastAsia="en-GB"/>
        </w:rPr>
      </w:pPr>
    </w:p>
    <w:tbl>
      <w:tblPr>
        <w:tblW w:w="8820" w:type="dxa"/>
        <w:tblLook w:val="04A0" w:firstRow="1" w:lastRow="0" w:firstColumn="1" w:lastColumn="0" w:noHBand="0" w:noVBand="1"/>
      </w:tblPr>
      <w:tblGrid>
        <w:gridCol w:w="4000"/>
        <w:gridCol w:w="1340"/>
        <w:gridCol w:w="1229"/>
        <w:gridCol w:w="1058"/>
        <w:gridCol w:w="1243"/>
      </w:tblGrid>
      <w:tr w:rsidR="00E020F6" w:rsidRPr="00E020F6" w:rsidTr="00E020F6">
        <w:trPr>
          <w:trHeight w:val="900"/>
        </w:trPr>
        <w:tc>
          <w:tcPr>
            <w:tcW w:w="400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E020F6" w:rsidRPr="00E020F6" w:rsidRDefault="00E020F6" w:rsidP="00E020F6">
            <w:pPr>
              <w:spacing w:after="0" w:line="240" w:lineRule="auto"/>
              <w:rPr>
                <w:rFonts w:ascii="Calibri" w:eastAsia="Times New Roman" w:hAnsi="Calibri" w:cs="Calibri"/>
                <w:b/>
                <w:bCs/>
                <w:color w:val="000000"/>
                <w:lang w:eastAsia="en-GB"/>
              </w:rPr>
            </w:pPr>
            <w:r w:rsidRPr="00E020F6">
              <w:rPr>
                <w:rFonts w:ascii="Calibri" w:eastAsia="Times New Roman" w:hAnsi="Calibri" w:cs="Calibri"/>
                <w:b/>
                <w:bCs/>
                <w:color w:val="000000"/>
                <w:lang w:eastAsia="en-GB"/>
              </w:rPr>
              <w:t>Outputs</w:t>
            </w:r>
          </w:p>
        </w:tc>
        <w:tc>
          <w:tcPr>
            <w:tcW w:w="1340" w:type="dxa"/>
            <w:tcBorders>
              <w:top w:val="single" w:sz="4" w:space="0" w:color="auto"/>
              <w:left w:val="nil"/>
              <w:bottom w:val="single" w:sz="4" w:space="0" w:color="auto"/>
              <w:right w:val="single" w:sz="4" w:space="0" w:color="auto"/>
            </w:tcBorders>
            <w:shd w:val="clear" w:color="000000" w:fill="9BC2E6"/>
            <w:noWrap/>
            <w:vAlign w:val="center"/>
            <w:hideMark/>
          </w:tcPr>
          <w:p w:rsidR="00E020F6" w:rsidRPr="00E020F6" w:rsidRDefault="00E020F6" w:rsidP="00E020F6">
            <w:pPr>
              <w:spacing w:after="0" w:line="240" w:lineRule="auto"/>
              <w:rPr>
                <w:rFonts w:ascii="Calibri" w:eastAsia="Times New Roman" w:hAnsi="Calibri" w:cs="Calibri"/>
                <w:b/>
                <w:bCs/>
                <w:color w:val="000000"/>
                <w:lang w:eastAsia="en-GB"/>
              </w:rPr>
            </w:pPr>
            <w:r w:rsidRPr="00E020F6">
              <w:rPr>
                <w:rFonts w:ascii="Calibri" w:eastAsia="Times New Roman" w:hAnsi="Calibri" w:cs="Calibri"/>
                <w:b/>
                <w:bCs/>
                <w:color w:val="000000"/>
                <w:lang w:eastAsia="en-GB"/>
              </w:rPr>
              <w:t>BEIS Target</w:t>
            </w:r>
          </w:p>
        </w:tc>
        <w:tc>
          <w:tcPr>
            <w:tcW w:w="1160" w:type="dxa"/>
            <w:tcBorders>
              <w:top w:val="single" w:sz="4" w:space="0" w:color="auto"/>
              <w:left w:val="nil"/>
              <w:bottom w:val="single" w:sz="4" w:space="0" w:color="auto"/>
              <w:right w:val="single" w:sz="4" w:space="0" w:color="auto"/>
            </w:tcBorders>
            <w:shd w:val="clear" w:color="000000" w:fill="9BC2E6"/>
            <w:vAlign w:val="center"/>
            <w:hideMark/>
          </w:tcPr>
          <w:p w:rsidR="00E020F6" w:rsidRPr="00E020F6" w:rsidRDefault="00E020F6" w:rsidP="00E020F6">
            <w:pPr>
              <w:spacing w:after="0" w:line="240" w:lineRule="auto"/>
              <w:rPr>
                <w:rFonts w:ascii="Calibri" w:eastAsia="Times New Roman" w:hAnsi="Calibri" w:cs="Calibri"/>
                <w:b/>
                <w:bCs/>
                <w:color w:val="000000"/>
                <w:lang w:eastAsia="en-GB"/>
              </w:rPr>
            </w:pPr>
            <w:r w:rsidRPr="00E020F6">
              <w:rPr>
                <w:rFonts w:ascii="Calibri" w:eastAsia="Times New Roman" w:hAnsi="Calibri" w:cs="Calibri"/>
                <w:b/>
                <w:bCs/>
                <w:color w:val="000000"/>
                <w:lang w:eastAsia="en-GB"/>
              </w:rPr>
              <w:t>Contracted on projects</w:t>
            </w:r>
          </w:p>
        </w:tc>
        <w:tc>
          <w:tcPr>
            <w:tcW w:w="960" w:type="dxa"/>
            <w:tcBorders>
              <w:top w:val="single" w:sz="4" w:space="0" w:color="auto"/>
              <w:left w:val="nil"/>
              <w:bottom w:val="single" w:sz="4" w:space="0" w:color="auto"/>
              <w:right w:val="single" w:sz="4" w:space="0" w:color="auto"/>
            </w:tcBorders>
            <w:shd w:val="clear" w:color="000000" w:fill="9BC2E6"/>
            <w:vAlign w:val="center"/>
            <w:hideMark/>
          </w:tcPr>
          <w:p w:rsidR="00E020F6" w:rsidRPr="00E020F6" w:rsidRDefault="00E020F6" w:rsidP="00E020F6">
            <w:pPr>
              <w:spacing w:after="0" w:line="240" w:lineRule="auto"/>
              <w:rPr>
                <w:rFonts w:ascii="Calibri" w:eastAsia="Times New Roman" w:hAnsi="Calibri" w:cs="Calibri"/>
                <w:b/>
                <w:bCs/>
                <w:color w:val="000000"/>
                <w:lang w:eastAsia="en-GB"/>
              </w:rPr>
            </w:pPr>
            <w:r w:rsidRPr="00E020F6">
              <w:rPr>
                <w:rFonts w:ascii="Calibri" w:eastAsia="Times New Roman" w:hAnsi="Calibri" w:cs="Calibri"/>
                <w:b/>
                <w:bCs/>
                <w:color w:val="000000"/>
                <w:lang w:eastAsia="en-GB"/>
              </w:rPr>
              <w:t>Achieved to date</w:t>
            </w:r>
          </w:p>
        </w:tc>
        <w:tc>
          <w:tcPr>
            <w:tcW w:w="1360" w:type="dxa"/>
            <w:tcBorders>
              <w:top w:val="single" w:sz="4" w:space="0" w:color="auto"/>
              <w:left w:val="nil"/>
              <w:bottom w:val="single" w:sz="4" w:space="0" w:color="auto"/>
              <w:right w:val="single" w:sz="4" w:space="0" w:color="auto"/>
            </w:tcBorders>
            <w:shd w:val="clear" w:color="000000" w:fill="9BC2E6"/>
            <w:vAlign w:val="center"/>
            <w:hideMark/>
          </w:tcPr>
          <w:p w:rsidR="00E020F6" w:rsidRPr="00E020F6" w:rsidRDefault="00E020F6" w:rsidP="00E020F6">
            <w:pPr>
              <w:spacing w:after="0" w:line="240" w:lineRule="auto"/>
              <w:rPr>
                <w:rFonts w:ascii="Calibri" w:eastAsia="Times New Roman" w:hAnsi="Calibri" w:cs="Calibri"/>
                <w:b/>
                <w:bCs/>
                <w:color w:val="000000"/>
                <w:lang w:eastAsia="en-GB"/>
              </w:rPr>
            </w:pPr>
            <w:r w:rsidRPr="00E020F6">
              <w:rPr>
                <w:rFonts w:ascii="Calibri" w:eastAsia="Times New Roman" w:hAnsi="Calibri" w:cs="Calibri"/>
                <w:b/>
                <w:bCs/>
                <w:color w:val="000000"/>
                <w:lang w:eastAsia="en-GB"/>
              </w:rPr>
              <w:t xml:space="preserve"> Percentage achieved </w:t>
            </w:r>
          </w:p>
        </w:tc>
      </w:tr>
      <w:tr w:rsidR="00E020F6" w:rsidRPr="00E020F6" w:rsidTr="00E020F6">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New Commercial Floorspace (sqm)</w:t>
            </w:r>
          </w:p>
        </w:tc>
        <w:tc>
          <w:tcPr>
            <w:tcW w:w="134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 </w:t>
            </w:r>
          </w:p>
        </w:tc>
        <w:tc>
          <w:tcPr>
            <w:tcW w:w="11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184,272</w:t>
            </w:r>
          </w:p>
        </w:tc>
        <w:tc>
          <w:tcPr>
            <w:tcW w:w="9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6,913</w:t>
            </w:r>
          </w:p>
        </w:tc>
        <w:tc>
          <w:tcPr>
            <w:tcW w:w="13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4%</w:t>
            </w:r>
          </w:p>
        </w:tc>
      </w:tr>
      <w:tr w:rsidR="00E020F6" w:rsidRPr="00E020F6" w:rsidTr="00E020F6">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Renovated Commercial Floorspace (sqm)</w:t>
            </w:r>
          </w:p>
        </w:tc>
        <w:tc>
          <w:tcPr>
            <w:tcW w:w="134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 </w:t>
            </w:r>
          </w:p>
        </w:tc>
        <w:tc>
          <w:tcPr>
            <w:tcW w:w="11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791</w:t>
            </w:r>
          </w:p>
        </w:tc>
        <w:tc>
          <w:tcPr>
            <w:tcW w:w="9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487</w:t>
            </w:r>
          </w:p>
        </w:tc>
        <w:tc>
          <w:tcPr>
            <w:tcW w:w="13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62%</w:t>
            </w:r>
          </w:p>
        </w:tc>
      </w:tr>
      <w:tr w:rsidR="00E020F6" w:rsidRPr="00E020F6" w:rsidTr="00E020F6">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Businesses receiving investment</w:t>
            </w:r>
          </w:p>
        </w:tc>
        <w:tc>
          <w:tcPr>
            <w:tcW w:w="134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58</w:t>
            </w:r>
          </w:p>
        </w:tc>
        <w:tc>
          <w:tcPr>
            <w:tcW w:w="9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16</w:t>
            </w:r>
          </w:p>
        </w:tc>
        <w:tc>
          <w:tcPr>
            <w:tcW w:w="13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28%</w:t>
            </w:r>
          </w:p>
        </w:tc>
      </w:tr>
      <w:tr w:rsidR="00E020F6" w:rsidRPr="00E020F6" w:rsidTr="00E020F6">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Jobs created</w:t>
            </w:r>
          </w:p>
        </w:tc>
        <w:tc>
          <w:tcPr>
            <w:tcW w:w="134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12000</w:t>
            </w:r>
          </w:p>
        </w:tc>
        <w:tc>
          <w:tcPr>
            <w:tcW w:w="11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22,935</w:t>
            </w:r>
          </w:p>
        </w:tc>
        <w:tc>
          <w:tcPr>
            <w:tcW w:w="9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116</w:t>
            </w:r>
          </w:p>
        </w:tc>
        <w:tc>
          <w:tcPr>
            <w:tcW w:w="13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w:t>
            </w:r>
          </w:p>
        </w:tc>
      </w:tr>
      <w:tr w:rsidR="00E020F6" w:rsidRPr="00E020F6" w:rsidTr="00E020F6">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Private sector Leverage</w:t>
            </w:r>
          </w:p>
        </w:tc>
        <w:tc>
          <w:tcPr>
            <w:tcW w:w="134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280</w:t>
            </w:r>
          </w:p>
        </w:tc>
        <w:tc>
          <w:tcPr>
            <w:tcW w:w="11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290</w:t>
            </w:r>
          </w:p>
        </w:tc>
        <w:tc>
          <w:tcPr>
            <w:tcW w:w="9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14</w:t>
            </w:r>
          </w:p>
        </w:tc>
        <w:tc>
          <w:tcPr>
            <w:tcW w:w="13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5%</w:t>
            </w:r>
          </w:p>
        </w:tc>
      </w:tr>
      <w:tr w:rsidR="00E020F6" w:rsidRPr="00E020F6" w:rsidTr="00E020F6">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Public Sector Leverage</w:t>
            </w:r>
          </w:p>
        </w:tc>
        <w:tc>
          <w:tcPr>
            <w:tcW w:w="134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49</w:t>
            </w:r>
          </w:p>
        </w:tc>
        <w:tc>
          <w:tcPr>
            <w:tcW w:w="9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14</w:t>
            </w:r>
          </w:p>
        </w:tc>
        <w:tc>
          <w:tcPr>
            <w:tcW w:w="13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28%</w:t>
            </w:r>
          </w:p>
        </w:tc>
      </w:tr>
      <w:tr w:rsidR="00E020F6" w:rsidRPr="00E020F6" w:rsidTr="00E020F6">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New homes completed</w:t>
            </w:r>
          </w:p>
        </w:tc>
        <w:tc>
          <w:tcPr>
            <w:tcW w:w="134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5000</w:t>
            </w:r>
          </w:p>
        </w:tc>
        <w:tc>
          <w:tcPr>
            <w:tcW w:w="11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11,434</w:t>
            </w:r>
          </w:p>
        </w:tc>
        <w:tc>
          <w:tcPr>
            <w:tcW w:w="9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2,217</w:t>
            </w:r>
          </w:p>
        </w:tc>
        <w:tc>
          <w:tcPr>
            <w:tcW w:w="13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19%</w:t>
            </w:r>
          </w:p>
        </w:tc>
      </w:tr>
      <w:tr w:rsidR="00E020F6" w:rsidRPr="00E020F6" w:rsidTr="00E020F6">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New home starts</w:t>
            </w:r>
          </w:p>
        </w:tc>
        <w:tc>
          <w:tcPr>
            <w:tcW w:w="134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8,092</w:t>
            </w:r>
          </w:p>
        </w:tc>
        <w:tc>
          <w:tcPr>
            <w:tcW w:w="960" w:type="dxa"/>
            <w:tcBorders>
              <w:top w:val="nil"/>
              <w:left w:val="nil"/>
              <w:bottom w:val="single" w:sz="4" w:space="0" w:color="auto"/>
              <w:right w:val="single" w:sz="4" w:space="0" w:color="auto"/>
            </w:tcBorders>
            <w:shd w:val="clear" w:color="000000" w:fill="FFFFFF"/>
            <w:noWrap/>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0</w:t>
            </w:r>
          </w:p>
        </w:tc>
        <w:tc>
          <w:tcPr>
            <w:tcW w:w="13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0%</w:t>
            </w:r>
          </w:p>
        </w:tc>
      </w:tr>
      <w:tr w:rsidR="00E020F6" w:rsidRPr="00E020F6" w:rsidTr="00E020F6">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GVA</w:t>
            </w:r>
          </w:p>
        </w:tc>
        <w:tc>
          <w:tcPr>
            <w:tcW w:w="1340" w:type="dxa"/>
            <w:tcBorders>
              <w:top w:val="nil"/>
              <w:left w:val="nil"/>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40.3</w:t>
            </w:r>
          </w:p>
        </w:tc>
        <w:tc>
          <w:tcPr>
            <w:tcW w:w="960" w:type="dxa"/>
            <w:tcBorders>
              <w:top w:val="nil"/>
              <w:left w:val="nil"/>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6.45</w:t>
            </w:r>
          </w:p>
        </w:tc>
        <w:tc>
          <w:tcPr>
            <w:tcW w:w="13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16%</w:t>
            </w:r>
          </w:p>
        </w:tc>
      </w:tr>
      <w:tr w:rsidR="00E020F6" w:rsidRPr="00E020F6" w:rsidTr="00E020F6">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Space occupied at Alderley Park (</w:t>
            </w:r>
            <w:proofErr w:type="spellStart"/>
            <w:r w:rsidRPr="00E020F6">
              <w:rPr>
                <w:rFonts w:ascii="Calibri" w:eastAsia="Times New Roman" w:hAnsi="Calibri" w:cs="Calibri"/>
                <w:color w:val="000000"/>
                <w:lang w:eastAsia="en-GB"/>
              </w:rPr>
              <w:t>sqft</w:t>
            </w:r>
            <w:proofErr w:type="spellEnd"/>
            <w:r w:rsidRPr="00E020F6">
              <w:rPr>
                <w:rFonts w:ascii="Calibri" w:eastAsia="Times New Roman" w:hAnsi="Calibri" w:cs="Calibri"/>
                <w:color w:val="000000"/>
                <w:lang w:eastAsia="en-GB"/>
              </w:rPr>
              <w:t>)</w:t>
            </w:r>
          </w:p>
        </w:tc>
        <w:tc>
          <w:tcPr>
            <w:tcW w:w="1340" w:type="dxa"/>
            <w:tcBorders>
              <w:top w:val="nil"/>
              <w:left w:val="nil"/>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18580</w:t>
            </w:r>
          </w:p>
        </w:tc>
        <w:tc>
          <w:tcPr>
            <w:tcW w:w="960" w:type="dxa"/>
            <w:tcBorders>
              <w:top w:val="nil"/>
              <w:left w:val="nil"/>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939.5</w:t>
            </w:r>
          </w:p>
        </w:tc>
        <w:tc>
          <w:tcPr>
            <w:tcW w:w="13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5%</w:t>
            </w:r>
          </w:p>
        </w:tc>
      </w:tr>
      <w:tr w:rsidR="00E020F6" w:rsidRPr="00E020F6" w:rsidTr="00E020F6">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Learners benefitting</w:t>
            </w:r>
          </w:p>
        </w:tc>
        <w:tc>
          <w:tcPr>
            <w:tcW w:w="1340" w:type="dxa"/>
            <w:tcBorders>
              <w:top w:val="nil"/>
              <w:left w:val="nil"/>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rPr>
                <w:rFonts w:ascii="Calibri" w:eastAsia="Times New Roman" w:hAnsi="Calibri" w:cs="Calibri"/>
                <w:color w:val="000000"/>
                <w:lang w:eastAsia="en-GB"/>
              </w:rPr>
            </w:pPr>
            <w:r w:rsidRPr="00E020F6">
              <w:rPr>
                <w:rFonts w:ascii="Calibri" w:eastAsia="Times New Roman" w:hAnsi="Calibri" w:cs="Calibri"/>
                <w:color w:val="000000"/>
                <w:lang w:eastAsia="en-GB"/>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471</w:t>
            </w:r>
          </w:p>
        </w:tc>
        <w:tc>
          <w:tcPr>
            <w:tcW w:w="960" w:type="dxa"/>
            <w:tcBorders>
              <w:top w:val="nil"/>
              <w:left w:val="nil"/>
              <w:bottom w:val="single" w:sz="4" w:space="0" w:color="auto"/>
              <w:right w:val="single" w:sz="4" w:space="0" w:color="auto"/>
            </w:tcBorders>
            <w:shd w:val="clear" w:color="000000" w:fill="FFFFFF"/>
            <w:noWrap/>
            <w:vAlign w:val="bottom"/>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49</w:t>
            </w:r>
          </w:p>
        </w:tc>
        <w:tc>
          <w:tcPr>
            <w:tcW w:w="1360" w:type="dxa"/>
            <w:tcBorders>
              <w:top w:val="nil"/>
              <w:left w:val="nil"/>
              <w:bottom w:val="single" w:sz="4" w:space="0" w:color="auto"/>
              <w:right w:val="single" w:sz="4" w:space="0" w:color="auto"/>
            </w:tcBorders>
            <w:shd w:val="clear" w:color="000000" w:fill="FFFFFF"/>
            <w:vAlign w:val="center"/>
            <w:hideMark/>
          </w:tcPr>
          <w:p w:rsidR="00E020F6" w:rsidRPr="00E020F6" w:rsidRDefault="00E020F6" w:rsidP="00E020F6">
            <w:pPr>
              <w:spacing w:after="0" w:line="240" w:lineRule="auto"/>
              <w:jc w:val="right"/>
              <w:rPr>
                <w:rFonts w:ascii="Calibri" w:eastAsia="Times New Roman" w:hAnsi="Calibri" w:cs="Calibri"/>
                <w:color w:val="000000"/>
                <w:lang w:eastAsia="en-GB"/>
              </w:rPr>
            </w:pPr>
            <w:r w:rsidRPr="00E020F6">
              <w:rPr>
                <w:rFonts w:ascii="Calibri" w:eastAsia="Times New Roman" w:hAnsi="Calibri" w:cs="Calibri"/>
                <w:color w:val="000000"/>
                <w:lang w:eastAsia="en-GB"/>
              </w:rPr>
              <w:t>10%</w:t>
            </w:r>
          </w:p>
        </w:tc>
      </w:tr>
    </w:tbl>
    <w:p w:rsidR="001503BA" w:rsidRPr="001503BA" w:rsidRDefault="001503BA" w:rsidP="001503BA">
      <w:pPr>
        <w:jc w:val="both"/>
        <w:rPr>
          <w:rFonts w:cstheme="minorHAnsi"/>
          <w:b/>
          <w:sz w:val="24"/>
          <w:szCs w:val="24"/>
        </w:rPr>
        <w:sectPr w:rsidR="001503BA" w:rsidRPr="001503BA" w:rsidSect="005D16FA">
          <w:footerReference w:type="default" r:id="rId8"/>
          <w:pgSz w:w="11906" w:h="16838"/>
          <w:pgMar w:top="1440" w:right="1440" w:bottom="1440" w:left="1440" w:header="708" w:footer="708" w:gutter="0"/>
          <w:cols w:space="708"/>
          <w:docGrid w:linePitch="360"/>
        </w:sectPr>
      </w:pPr>
    </w:p>
    <w:p w:rsidR="006B40C1" w:rsidRPr="00233FFD" w:rsidRDefault="001503BA" w:rsidP="00812F24">
      <w:pPr>
        <w:pStyle w:val="ListParagraph"/>
        <w:numPr>
          <w:ilvl w:val="0"/>
          <w:numId w:val="1"/>
        </w:numPr>
        <w:jc w:val="both"/>
        <w:rPr>
          <w:rFonts w:cstheme="minorHAnsi"/>
          <w:b/>
          <w:sz w:val="24"/>
          <w:szCs w:val="24"/>
        </w:rPr>
      </w:pPr>
      <w:r>
        <w:rPr>
          <w:rFonts w:cstheme="minorHAnsi"/>
          <w:b/>
          <w:sz w:val="24"/>
          <w:szCs w:val="24"/>
        </w:rPr>
        <w:lastRenderedPageBreak/>
        <w:t>Ri</w:t>
      </w:r>
      <w:r w:rsidR="00BC562B" w:rsidRPr="00233FFD">
        <w:rPr>
          <w:rFonts w:cstheme="minorHAnsi"/>
          <w:b/>
          <w:sz w:val="24"/>
          <w:szCs w:val="24"/>
        </w:rPr>
        <w:t>sks</w:t>
      </w:r>
    </w:p>
    <w:p w:rsidR="00B64397" w:rsidRPr="00B64397" w:rsidRDefault="00FD65A2" w:rsidP="00B64397">
      <w:pPr>
        <w:pStyle w:val="ListParagraph"/>
        <w:ind w:left="360"/>
        <w:jc w:val="both"/>
        <w:rPr>
          <w:rFonts w:cstheme="minorHAnsi"/>
          <w:sz w:val="24"/>
          <w:szCs w:val="24"/>
        </w:rPr>
      </w:pPr>
      <w:r w:rsidRPr="00233FFD">
        <w:rPr>
          <w:rFonts w:cstheme="minorHAnsi"/>
          <w:sz w:val="24"/>
          <w:szCs w:val="24"/>
        </w:rPr>
        <w:t xml:space="preserve">The top operational and programme risks are </w:t>
      </w:r>
      <w:r w:rsidR="00B64397">
        <w:rPr>
          <w:rFonts w:cstheme="minorHAnsi"/>
          <w:sz w:val="24"/>
          <w:szCs w:val="24"/>
        </w:rPr>
        <w:t>shown below</w:t>
      </w:r>
      <w:r w:rsidR="00805420">
        <w:rPr>
          <w:rFonts w:cstheme="minorHAnsi"/>
          <w:sz w:val="24"/>
          <w:szCs w:val="24"/>
        </w:rPr>
        <w:t xml:space="preserve">.  </w:t>
      </w:r>
    </w:p>
    <w:p w:rsidR="00B64397" w:rsidRDefault="00B64397" w:rsidP="00A90520">
      <w:pPr>
        <w:pStyle w:val="ListParagraph"/>
        <w:ind w:left="360"/>
        <w:jc w:val="both"/>
        <w:rPr>
          <w:rFonts w:cstheme="minorHAnsi"/>
          <w:sz w:val="24"/>
          <w:szCs w:val="24"/>
        </w:rPr>
      </w:pPr>
    </w:p>
    <w:p w:rsidR="00B64397" w:rsidRPr="00AB3852" w:rsidRDefault="003F7CE2" w:rsidP="00A90520">
      <w:pPr>
        <w:pStyle w:val="ListParagraph"/>
        <w:ind w:left="360"/>
        <w:jc w:val="both"/>
        <w:rPr>
          <w:rFonts w:cstheme="minorHAnsi"/>
          <w:b/>
          <w:sz w:val="24"/>
          <w:szCs w:val="24"/>
        </w:rPr>
      </w:pPr>
      <w:r w:rsidRPr="00AB3852">
        <w:rPr>
          <w:rFonts w:cstheme="minorHAnsi"/>
          <w:b/>
          <w:sz w:val="24"/>
          <w:szCs w:val="24"/>
        </w:rPr>
        <w:t>Operational Risks</w:t>
      </w:r>
    </w:p>
    <w:tbl>
      <w:tblPr>
        <w:tblW w:w="13520" w:type="dxa"/>
        <w:tblLook w:val="04A0" w:firstRow="1" w:lastRow="0" w:firstColumn="1" w:lastColumn="0" w:noHBand="0" w:noVBand="1"/>
      </w:tblPr>
      <w:tblGrid>
        <w:gridCol w:w="623"/>
        <w:gridCol w:w="3174"/>
        <w:gridCol w:w="3602"/>
        <w:gridCol w:w="2743"/>
        <w:gridCol w:w="943"/>
        <w:gridCol w:w="1477"/>
        <w:gridCol w:w="958"/>
      </w:tblGrid>
      <w:tr w:rsidR="00AB3852" w:rsidRPr="00AB3852" w:rsidTr="00AB3852">
        <w:trPr>
          <w:trHeight w:val="720"/>
        </w:trPr>
        <w:tc>
          <w:tcPr>
            <w:tcW w:w="623"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AB3852" w:rsidRPr="00AB3852" w:rsidRDefault="00AB3852" w:rsidP="00AB3852">
            <w:pPr>
              <w:spacing w:after="0" w:line="240" w:lineRule="auto"/>
              <w:jc w:val="center"/>
              <w:rPr>
                <w:rFonts w:ascii="Calibri" w:eastAsia="Times New Roman" w:hAnsi="Calibri" w:cs="Calibri"/>
                <w:b/>
                <w:bCs/>
                <w:color w:val="FFFFFF"/>
                <w:lang w:eastAsia="en-GB"/>
              </w:rPr>
            </w:pPr>
            <w:r w:rsidRPr="00AB3852">
              <w:rPr>
                <w:rFonts w:ascii="Calibri" w:eastAsia="Times New Roman" w:hAnsi="Calibri" w:cs="Calibri"/>
                <w:b/>
                <w:bCs/>
                <w:color w:val="FFFFFF"/>
                <w:lang w:eastAsia="en-GB"/>
              </w:rPr>
              <w:t>RISK REF</w:t>
            </w:r>
          </w:p>
        </w:tc>
        <w:tc>
          <w:tcPr>
            <w:tcW w:w="6776" w:type="dxa"/>
            <w:gridSpan w:val="2"/>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AB3852" w:rsidRPr="00AB3852" w:rsidRDefault="00AB3852" w:rsidP="00AB3852">
            <w:pPr>
              <w:spacing w:after="0" w:line="240" w:lineRule="auto"/>
              <w:jc w:val="center"/>
              <w:rPr>
                <w:rFonts w:ascii="Calibri" w:eastAsia="Times New Roman" w:hAnsi="Calibri" w:cs="Calibri"/>
                <w:b/>
                <w:bCs/>
                <w:color w:val="FFFFFF"/>
                <w:lang w:eastAsia="en-GB"/>
              </w:rPr>
            </w:pPr>
            <w:r w:rsidRPr="00AB3852">
              <w:rPr>
                <w:rFonts w:ascii="Calibri" w:eastAsia="Times New Roman" w:hAnsi="Calibri" w:cs="Calibri"/>
                <w:b/>
                <w:bCs/>
                <w:color w:val="FFFFFF"/>
                <w:lang w:eastAsia="en-GB"/>
              </w:rPr>
              <w:t>RISK SCENARIO</w:t>
            </w:r>
          </w:p>
        </w:tc>
        <w:tc>
          <w:tcPr>
            <w:tcW w:w="2743"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AB3852" w:rsidRPr="00AB3852" w:rsidRDefault="00AB3852" w:rsidP="00AB3852">
            <w:pPr>
              <w:spacing w:after="0" w:line="240" w:lineRule="auto"/>
              <w:jc w:val="center"/>
              <w:rPr>
                <w:rFonts w:ascii="Calibri" w:eastAsia="Times New Roman" w:hAnsi="Calibri" w:cs="Calibri"/>
                <w:b/>
                <w:bCs/>
                <w:color w:val="FFFFFF"/>
                <w:lang w:eastAsia="en-GB"/>
              </w:rPr>
            </w:pPr>
            <w:r w:rsidRPr="00AB3852">
              <w:rPr>
                <w:rFonts w:ascii="Calibri" w:eastAsia="Times New Roman" w:hAnsi="Calibri" w:cs="Calibri"/>
                <w:b/>
                <w:bCs/>
                <w:color w:val="FFFFFF"/>
                <w:lang w:eastAsia="en-GB"/>
              </w:rPr>
              <w:t>FUTURE CONTROLS / MITIGATION MEASURES</w:t>
            </w:r>
          </w:p>
        </w:tc>
        <w:tc>
          <w:tcPr>
            <w:tcW w:w="3378" w:type="dxa"/>
            <w:gridSpan w:val="3"/>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AB3852" w:rsidRPr="00AB3852" w:rsidRDefault="00AB3852" w:rsidP="00AB3852">
            <w:pPr>
              <w:spacing w:after="0" w:line="240" w:lineRule="auto"/>
              <w:jc w:val="center"/>
              <w:rPr>
                <w:rFonts w:ascii="Calibri" w:eastAsia="Times New Roman" w:hAnsi="Calibri" w:cs="Calibri"/>
                <w:b/>
                <w:bCs/>
                <w:color w:val="FFFFFF"/>
                <w:lang w:eastAsia="en-GB"/>
              </w:rPr>
            </w:pPr>
            <w:r w:rsidRPr="00AB3852">
              <w:rPr>
                <w:rFonts w:ascii="Calibri" w:eastAsia="Times New Roman" w:hAnsi="Calibri" w:cs="Calibri"/>
                <w:b/>
                <w:bCs/>
                <w:color w:val="FFFFFF"/>
                <w:lang w:eastAsia="en-GB"/>
              </w:rPr>
              <w:t>Residual risk rating</w:t>
            </w:r>
          </w:p>
        </w:tc>
      </w:tr>
      <w:tr w:rsidR="00AB3852" w:rsidRPr="00AB3852" w:rsidTr="00AB3852">
        <w:trPr>
          <w:trHeight w:val="765"/>
        </w:trPr>
        <w:tc>
          <w:tcPr>
            <w:tcW w:w="623" w:type="dxa"/>
            <w:vMerge/>
            <w:tcBorders>
              <w:top w:val="single" w:sz="4" w:space="0" w:color="auto"/>
              <w:left w:val="single" w:sz="4" w:space="0" w:color="auto"/>
              <w:bottom w:val="single" w:sz="4" w:space="0" w:color="auto"/>
              <w:right w:val="single" w:sz="4" w:space="0" w:color="auto"/>
            </w:tcBorders>
            <w:vAlign w:val="center"/>
            <w:hideMark/>
          </w:tcPr>
          <w:p w:rsidR="00AB3852" w:rsidRPr="00AB3852" w:rsidRDefault="00AB3852" w:rsidP="00AB3852">
            <w:pPr>
              <w:spacing w:after="0" w:line="240" w:lineRule="auto"/>
              <w:rPr>
                <w:rFonts w:ascii="Calibri" w:eastAsia="Times New Roman" w:hAnsi="Calibri" w:cs="Calibri"/>
                <w:b/>
                <w:bCs/>
                <w:color w:val="FFFFFF"/>
                <w:lang w:eastAsia="en-GB"/>
              </w:rPr>
            </w:pPr>
          </w:p>
        </w:tc>
        <w:tc>
          <w:tcPr>
            <w:tcW w:w="6776" w:type="dxa"/>
            <w:gridSpan w:val="2"/>
            <w:vMerge/>
            <w:tcBorders>
              <w:top w:val="single" w:sz="4" w:space="0" w:color="auto"/>
              <w:left w:val="single" w:sz="4" w:space="0" w:color="auto"/>
              <w:bottom w:val="single" w:sz="4" w:space="0" w:color="auto"/>
              <w:right w:val="single" w:sz="4" w:space="0" w:color="auto"/>
            </w:tcBorders>
            <w:vAlign w:val="center"/>
            <w:hideMark/>
          </w:tcPr>
          <w:p w:rsidR="00AB3852" w:rsidRPr="00AB3852" w:rsidRDefault="00AB3852" w:rsidP="00AB3852">
            <w:pPr>
              <w:spacing w:after="0" w:line="240" w:lineRule="auto"/>
              <w:rPr>
                <w:rFonts w:ascii="Calibri" w:eastAsia="Times New Roman" w:hAnsi="Calibri" w:cs="Calibri"/>
                <w:b/>
                <w:bCs/>
                <w:color w:val="FFFFFF"/>
                <w:lang w:eastAsia="en-GB"/>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AB3852" w:rsidRPr="00AB3852" w:rsidRDefault="00AB3852" w:rsidP="00AB3852">
            <w:pPr>
              <w:spacing w:after="0" w:line="240" w:lineRule="auto"/>
              <w:rPr>
                <w:rFonts w:ascii="Calibri" w:eastAsia="Times New Roman" w:hAnsi="Calibri" w:cs="Calibri"/>
                <w:b/>
                <w:bCs/>
                <w:color w:val="FFFFFF"/>
                <w:lang w:eastAsia="en-GB"/>
              </w:rPr>
            </w:pPr>
          </w:p>
        </w:tc>
        <w:tc>
          <w:tcPr>
            <w:tcW w:w="3378" w:type="dxa"/>
            <w:gridSpan w:val="3"/>
            <w:vMerge/>
            <w:tcBorders>
              <w:top w:val="single" w:sz="4" w:space="0" w:color="auto"/>
              <w:left w:val="single" w:sz="4" w:space="0" w:color="auto"/>
              <w:bottom w:val="single" w:sz="4" w:space="0" w:color="auto"/>
              <w:right w:val="single" w:sz="4" w:space="0" w:color="auto"/>
            </w:tcBorders>
            <w:vAlign w:val="center"/>
            <w:hideMark/>
          </w:tcPr>
          <w:p w:rsidR="00AB3852" w:rsidRPr="00AB3852" w:rsidRDefault="00AB3852" w:rsidP="00AB3852">
            <w:pPr>
              <w:spacing w:after="0" w:line="240" w:lineRule="auto"/>
              <w:rPr>
                <w:rFonts w:ascii="Calibri" w:eastAsia="Times New Roman" w:hAnsi="Calibri" w:cs="Calibri"/>
                <w:b/>
                <w:bCs/>
                <w:color w:val="FFFFFF"/>
                <w:lang w:eastAsia="en-GB"/>
              </w:rPr>
            </w:pPr>
          </w:p>
        </w:tc>
      </w:tr>
      <w:tr w:rsidR="00AB3852" w:rsidRPr="00AB3852" w:rsidTr="00AB3852">
        <w:trPr>
          <w:trHeight w:val="765"/>
        </w:trPr>
        <w:tc>
          <w:tcPr>
            <w:tcW w:w="623" w:type="dxa"/>
            <w:tcBorders>
              <w:top w:val="nil"/>
              <w:left w:val="single" w:sz="4" w:space="0" w:color="auto"/>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 </w:t>
            </w:r>
          </w:p>
        </w:tc>
        <w:tc>
          <w:tcPr>
            <w:tcW w:w="3174" w:type="dxa"/>
            <w:tcBorders>
              <w:top w:val="nil"/>
              <w:left w:val="nil"/>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RISK</w:t>
            </w:r>
          </w:p>
        </w:tc>
        <w:tc>
          <w:tcPr>
            <w:tcW w:w="3602" w:type="dxa"/>
            <w:tcBorders>
              <w:top w:val="nil"/>
              <w:left w:val="nil"/>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IMPACT</w:t>
            </w:r>
          </w:p>
        </w:tc>
        <w:tc>
          <w:tcPr>
            <w:tcW w:w="2743" w:type="dxa"/>
            <w:tcBorders>
              <w:top w:val="nil"/>
              <w:left w:val="nil"/>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 </w:t>
            </w:r>
          </w:p>
        </w:tc>
        <w:tc>
          <w:tcPr>
            <w:tcW w:w="943" w:type="dxa"/>
            <w:tcBorders>
              <w:top w:val="nil"/>
              <w:left w:val="nil"/>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IMPACT {1-5}</w:t>
            </w:r>
          </w:p>
        </w:tc>
        <w:tc>
          <w:tcPr>
            <w:tcW w:w="1477" w:type="dxa"/>
            <w:tcBorders>
              <w:top w:val="nil"/>
              <w:left w:val="nil"/>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LIKELIHOOD {1-5}</w:t>
            </w:r>
          </w:p>
        </w:tc>
        <w:tc>
          <w:tcPr>
            <w:tcW w:w="95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TOTAL</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20</w:t>
            </w:r>
          </w:p>
        </w:tc>
        <w:tc>
          <w:tcPr>
            <w:tcW w:w="3174"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Current political landscape and lack of clear support for LEPs from opposition creates risks to delivery of economic development projects in Cheshire and War</w:t>
            </w:r>
            <w:r>
              <w:rPr>
                <w:rFonts w:ascii="Calibri" w:eastAsia="Times New Roman" w:hAnsi="Calibri" w:cs="Calibri"/>
                <w:lang w:eastAsia="en-GB"/>
              </w:rPr>
              <w:t>r</w:t>
            </w:r>
            <w:r w:rsidRPr="00AB3852">
              <w:rPr>
                <w:rFonts w:ascii="Calibri" w:eastAsia="Times New Roman" w:hAnsi="Calibri" w:cs="Calibri"/>
                <w:lang w:eastAsia="en-GB"/>
              </w:rPr>
              <w:t xml:space="preserve">ington.  May take </w:t>
            </w:r>
            <w:proofErr w:type="gramStart"/>
            <w:r w:rsidRPr="00AB3852">
              <w:rPr>
                <w:rFonts w:ascii="Calibri" w:eastAsia="Times New Roman" w:hAnsi="Calibri" w:cs="Calibri"/>
                <w:lang w:eastAsia="en-GB"/>
              </w:rPr>
              <w:t>significant time</w:t>
            </w:r>
            <w:proofErr w:type="gramEnd"/>
            <w:r w:rsidRPr="00AB3852">
              <w:rPr>
                <w:rFonts w:ascii="Calibri" w:eastAsia="Times New Roman" w:hAnsi="Calibri" w:cs="Calibri"/>
                <w:lang w:eastAsia="en-GB"/>
              </w:rPr>
              <w:t xml:space="preserve"> to transfer delivery to another body.</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LEP potentially would have to be wound up and delivery of projects and realisation of benefits could be delayed.</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Promote the LEP achievements and its effectiveness at delivering regeneration.</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5</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15</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auto" w:fill="auto"/>
            <w:hideMark/>
          </w:tcPr>
          <w:p w:rsidR="00AB3852" w:rsidRPr="00AB3852" w:rsidRDefault="00AB3852" w:rsidP="00AB3852">
            <w:pPr>
              <w:spacing w:after="0" w:line="240" w:lineRule="auto"/>
              <w:jc w:val="right"/>
              <w:rPr>
                <w:rFonts w:ascii="Calibri" w:eastAsia="Times New Roman" w:hAnsi="Calibri" w:cs="Calibri"/>
                <w:lang w:eastAsia="en-GB"/>
              </w:rPr>
            </w:pPr>
            <w:r w:rsidRPr="00AB3852">
              <w:rPr>
                <w:rFonts w:ascii="Calibri" w:eastAsia="Times New Roman" w:hAnsi="Calibri" w:cs="Calibri"/>
                <w:lang w:eastAsia="en-GB"/>
              </w:rPr>
              <w:t>48</w:t>
            </w:r>
          </w:p>
        </w:tc>
        <w:tc>
          <w:tcPr>
            <w:tcW w:w="3174" w:type="dxa"/>
            <w:tcBorders>
              <w:top w:val="nil"/>
              <w:left w:val="nil"/>
              <w:bottom w:val="single" w:sz="4" w:space="0" w:color="auto"/>
              <w:right w:val="single" w:sz="4" w:space="0" w:color="auto"/>
            </w:tcBorders>
            <w:shd w:val="clear" w:color="auto" w:fill="auto"/>
            <w:noWrap/>
            <w:vAlign w:val="bottom"/>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Criticism of credit card transactions</w:t>
            </w:r>
          </w:p>
        </w:tc>
        <w:tc>
          <w:tcPr>
            <w:tcW w:w="3602" w:type="dxa"/>
            <w:tcBorders>
              <w:top w:val="nil"/>
              <w:left w:val="nil"/>
              <w:bottom w:val="single" w:sz="4" w:space="0" w:color="auto"/>
              <w:right w:val="single" w:sz="4" w:space="0" w:color="auto"/>
            </w:tcBorders>
            <w:shd w:val="clear" w:color="auto" w:fill="auto"/>
            <w:vAlign w:val="bottom"/>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Reputational damage to the company and questions over transparency of process and impropriety could be raised.</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Clear policy on the purchase of Alcohol and corporate entertainment.  Add notes to credit card statements with details of event attended and who was present when there are transactions for hospitality.</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4</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12</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lastRenderedPageBreak/>
              <w:t>36</w:t>
            </w:r>
          </w:p>
        </w:tc>
        <w:tc>
          <w:tcPr>
            <w:tcW w:w="3174"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Not complying with the General Data Protection regulation</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Could lead to legal action against the LEP by not conforming.</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Review current data held and update how information is held so compliant.  Appoint a data controller. Ask a consultant to come in and review what info the LEP holds and make recommendations for how the LEP manages info.</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4</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12</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34</w:t>
            </w:r>
          </w:p>
        </w:tc>
        <w:tc>
          <w:tcPr>
            <w:tcW w:w="3174" w:type="dxa"/>
            <w:tcBorders>
              <w:top w:val="nil"/>
              <w:left w:val="nil"/>
              <w:bottom w:val="single" w:sz="4" w:space="0" w:color="auto"/>
              <w:right w:val="single" w:sz="4" w:space="0" w:color="auto"/>
            </w:tcBorders>
            <w:shd w:val="clear" w:color="000000" w:fill="FFFFFF"/>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Loss of key staff</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 xml:space="preserve">Causes continuity issues, loss of knowledge and reduction in delivery capability while </w:t>
            </w:r>
            <w:proofErr w:type="gramStart"/>
            <w:r w:rsidRPr="00AB3852">
              <w:rPr>
                <w:rFonts w:ascii="Calibri" w:eastAsia="Times New Roman" w:hAnsi="Calibri" w:cs="Calibri"/>
                <w:lang w:eastAsia="en-GB"/>
              </w:rPr>
              <w:t>new staff</w:t>
            </w:r>
            <w:proofErr w:type="gramEnd"/>
            <w:r w:rsidRPr="00AB3852">
              <w:rPr>
                <w:rFonts w:ascii="Calibri" w:eastAsia="Times New Roman" w:hAnsi="Calibri" w:cs="Calibri"/>
                <w:lang w:eastAsia="en-GB"/>
              </w:rPr>
              <w:t xml:space="preserve"> and employed and get up to speed. Unable to carry out key tasks. E.g. counter sign payments and contracts.</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Have adequate approved delegation limits and signatories.  Make sure staff don't operate in a vacuum and that key tasks are understood by at least one other member of staff. E.g. how to use the claims system (LOGASNET) or payment systems.  Look at developing fo</w:t>
            </w:r>
            <w:r>
              <w:rPr>
                <w:rFonts w:ascii="Calibri" w:eastAsia="Times New Roman" w:hAnsi="Calibri" w:cs="Calibri"/>
                <w:lang w:eastAsia="en-GB"/>
              </w:rPr>
              <w:t>r</w:t>
            </w:r>
            <w:r w:rsidRPr="00AB3852">
              <w:rPr>
                <w:rFonts w:ascii="Calibri" w:eastAsia="Times New Roman" w:hAnsi="Calibri" w:cs="Calibri"/>
                <w:lang w:eastAsia="en-GB"/>
              </w:rPr>
              <w:t>mal programme to ensure we have ability to cope in short term with loss of member of staff.</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9</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38</w:t>
            </w:r>
          </w:p>
        </w:tc>
        <w:tc>
          <w:tcPr>
            <w:tcW w:w="3174"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Key stakeholders become disengaged</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Loss of relationships and potential influence and support for the LEP activities</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Review and update stakeholder management plan. Establish a communications committee</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9</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lastRenderedPageBreak/>
              <w:t>29</w:t>
            </w:r>
          </w:p>
        </w:tc>
        <w:tc>
          <w:tcPr>
            <w:tcW w:w="3174"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 xml:space="preserve">Loss of core funding/ Uncertainty about funding from year to year impacts on staff retention. </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Staff don't feel secure in their jobs which could lead to a higher than expected staff turnover, loss of expertise and increase in recruitment costs</w:t>
            </w:r>
          </w:p>
        </w:tc>
        <w:tc>
          <w:tcPr>
            <w:tcW w:w="2743" w:type="dxa"/>
            <w:tcBorders>
              <w:top w:val="nil"/>
              <w:left w:val="nil"/>
              <w:bottom w:val="single" w:sz="4" w:space="0" w:color="auto"/>
              <w:right w:val="single" w:sz="4" w:space="0" w:color="auto"/>
            </w:tcBorders>
            <w:shd w:val="clear" w:color="000000" w:fill="FFFFFF"/>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 xml:space="preserve">Look at developing other funding streams and developing an operational surplus to provide a contingency. Funding now confirmed for two years. </w:t>
            </w:r>
            <w:proofErr w:type="spellStart"/>
            <w:r w:rsidRPr="00AB3852">
              <w:rPr>
                <w:rFonts w:ascii="Calibri" w:eastAsia="Times New Roman" w:hAnsi="Calibri" w:cs="Calibri"/>
                <w:lang w:eastAsia="en-GB"/>
              </w:rPr>
              <w:t>Build up</w:t>
            </w:r>
            <w:proofErr w:type="spellEnd"/>
            <w:r w:rsidRPr="00AB3852">
              <w:rPr>
                <w:rFonts w:ascii="Calibri" w:eastAsia="Times New Roman" w:hAnsi="Calibri" w:cs="Calibri"/>
                <w:lang w:eastAsia="en-GB"/>
              </w:rPr>
              <w:t xml:space="preserve"> EZ reserves to give provide appropriate cushion.</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9</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27</w:t>
            </w:r>
          </w:p>
        </w:tc>
        <w:tc>
          <w:tcPr>
            <w:tcW w:w="3174"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Not delivering programme level outputs</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Reputational damage and impact of future awards of funding.  Clawback/repayment of grants</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Ongoing monitoring and early identification of any slippage. Consider how projects are contracted robustly.</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9</w:t>
            </w:r>
          </w:p>
        </w:tc>
      </w:tr>
    </w:tbl>
    <w:p w:rsidR="00F21FDF" w:rsidRDefault="00F21FDF" w:rsidP="00D63FB4">
      <w:pPr>
        <w:rPr>
          <w:rFonts w:cstheme="minorHAnsi"/>
          <w:b/>
          <w:sz w:val="24"/>
          <w:szCs w:val="24"/>
        </w:rPr>
      </w:pPr>
    </w:p>
    <w:p w:rsidR="00A90520" w:rsidRDefault="00A90520"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tbl>
      <w:tblPr>
        <w:tblpPr w:leftFromText="180" w:rightFromText="180" w:vertAnchor="text" w:horzAnchor="margin" w:tblpXSpec="center" w:tblpY="-1439"/>
        <w:tblW w:w="15500" w:type="dxa"/>
        <w:tblLook w:val="04A0" w:firstRow="1" w:lastRow="0" w:firstColumn="1" w:lastColumn="0" w:noHBand="0" w:noVBand="1"/>
      </w:tblPr>
      <w:tblGrid>
        <w:gridCol w:w="737"/>
        <w:gridCol w:w="3442"/>
        <w:gridCol w:w="3976"/>
        <w:gridCol w:w="4115"/>
        <w:gridCol w:w="957"/>
        <w:gridCol w:w="1323"/>
        <w:gridCol w:w="950"/>
      </w:tblGrid>
      <w:tr w:rsidR="002A6295" w:rsidRPr="002A6295" w:rsidTr="002A6295">
        <w:trPr>
          <w:trHeight w:val="269"/>
        </w:trPr>
        <w:tc>
          <w:tcPr>
            <w:tcW w:w="737" w:type="dxa"/>
            <w:vMerge w:val="restart"/>
            <w:tcBorders>
              <w:top w:val="single" w:sz="4" w:space="0" w:color="auto"/>
              <w:left w:val="single" w:sz="4" w:space="0" w:color="auto"/>
              <w:bottom w:val="single" w:sz="4" w:space="0" w:color="000000"/>
              <w:right w:val="single" w:sz="4" w:space="0" w:color="auto"/>
            </w:tcBorders>
            <w:shd w:val="clear" w:color="000000" w:fill="800080"/>
            <w:vAlign w:val="center"/>
            <w:hideMark/>
          </w:tcPr>
          <w:p w:rsidR="002A6295" w:rsidRPr="002A6295" w:rsidRDefault="002A6295" w:rsidP="002A6295">
            <w:pPr>
              <w:spacing w:after="0" w:line="240" w:lineRule="auto"/>
              <w:jc w:val="center"/>
              <w:rPr>
                <w:rFonts w:eastAsia="Times New Roman" w:cstheme="minorHAnsi"/>
                <w:b/>
                <w:bCs/>
                <w:color w:val="FFFFFF"/>
                <w:lang w:eastAsia="en-GB"/>
              </w:rPr>
            </w:pPr>
            <w:r w:rsidRPr="002A6295">
              <w:rPr>
                <w:rFonts w:eastAsia="Times New Roman" w:cstheme="minorHAnsi"/>
                <w:b/>
                <w:bCs/>
                <w:color w:val="FFFFFF"/>
                <w:lang w:eastAsia="en-GB"/>
              </w:rPr>
              <w:lastRenderedPageBreak/>
              <w:t>RISK REF</w:t>
            </w:r>
          </w:p>
        </w:tc>
        <w:tc>
          <w:tcPr>
            <w:tcW w:w="7418" w:type="dxa"/>
            <w:gridSpan w:val="2"/>
            <w:vMerge w:val="restart"/>
            <w:tcBorders>
              <w:top w:val="single" w:sz="4" w:space="0" w:color="auto"/>
              <w:left w:val="single" w:sz="4" w:space="0" w:color="auto"/>
              <w:bottom w:val="single" w:sz="4" w:space="0" w:color="000000"/>
              <w:right w:val="single" w:sz="4" w:space="0" w:color="000000"/>
            </w:tcBorders>
            <w:shd w:val="clear" w:color="000000" w:fill="800080"/>
            <w:vAlign w:val="center"/>
            <w:hideMark/>
          </w:tcPr>
          <w:p w:rsidR="002A6295" w:rsidRPr="002A6295" w:rsidRDefault="002A6295" w:rsidP="002A6295">
            <w:pPr>
              <w:spacing w:after="0" w:line="240" w:lineRule="auto"/>
              <w:jc w:val="center"/>
              <w:rPr>
                <w:rFonts w:eastAsia="Times New Roman" w:cstheme="minorHAnsi"/>
                <w:b/>
                <w:bCs/>
                <w:color w:val="FFFFFF"/>
                <w:lang w:eastAsia="en-GB"/>
              </w:rPr>
            </w:pPr>
            <w:r w:rsidRPr="002A6295">
              <w:rPr>
                <w:rFonts w:eastAsia="Times New Roman" w:cstheme="minorHAnsi"/>
                <w:b/>
                <w:bCs/>
                <w:color w:val="FFFFFF"/>
                <w:lang w:eastAsia="en-GB"/>
              </w:rPr>
              <w:t>RISK SCENARIO</w:t>
            </w:r>
          </w:p>
        </w:tc>
        <w:tc>
          <w:tcPr>
            <w:tcW w:w="4115" w:type="dxa"/>
            <w:vMerge w:val="restart"/>
            <w:tcBorders>
              <w:top w:val="single" w:sz="4" w:space="0" w:color="auto"/>
              <w:left w:val="single" w:sz="4" w:space="0" w:color="auto"/>
              <w:bottom w:val="single" w:sz="4" w:space="0" w:color="auto"/>
              <w:right w:val="single" w:sz="4" w:space="0" w:color="auto"/>
            </w:tcBorders>
            <w:shd w:val="clear" w:color="000000" w:fill="800080"/>
            <w:vAlign w:val="center"/>
            <w:hideMark/>
          </w:tcPr>
          <w:p w:rsidR="002A6295" w:rsidRPr="002A6295" w:rsidRDefault="002A6295" w:rsidP="002A6295">
            <w:pPr>
              <w:spacing w:after="0" w:line="240" w:lineRule="auto"/>
              <w:jc w:val="center"/>
              <w:rPr>
                <w:rFonts w:eastAsia="Times New Roman" w:cstheme="minorHAnsi"/>
                <w:b/>
                <w:bCs/>
                <w:color w:val="FFFFFF"/>
                <w:lang w:eastAsia="en-GB"/>
              </w:rPr>
            </w:pPr>
            <w:r w:rsidRPr="002A6295">
              <w:rPr>
                <w:rFonts w:eastAsia="Times New Roman" w:cstheme="minorHAnsi"/>
                <w:b/>
                <w:bCs/>
                <w:color w:val="FFFFFF"/>
                <w:lang w:eastAsia="en-GB"/>
              </w:rPr>
              <w:t>FUTURE CONTROLS / MITIGATION MEASURES</w:t>
            </w:r>
          </w:p>
        </w:tc>
        <w:tc>
          <w:tcPr>
            <w:tcW w:w="3230" w:type="dxa"/>
            <w:gridSpan w:val="3"/>
            <w:vMerge w:val="restart"/>
            <w:tcBorders>
              <w:top w:val="single" w:sz="4" w:space="0" w:color="auto"/>
              <w:left w:val="single" w:sz="4" w:space="0" w:color="auto"/>
              <w:bottom w:val="single" w:sz="4" w:space="0" w:color="auto"/>
              <w:right w:val="single" w:sz="4" w:space="0" w:color="auto"/>
            </w:tcBorders>
            <w:shd w:val="clear" w:color="000000" w:fill="800080"/>
            <w:vAlign w:val="center"/>
            <w:hideMark/>
          </w:tcPr>
          <w:p w:rsidR="002A6295" w:rsidRPr="002A6295" w:rsidRDefault="002A6295" w:rsidP="002A6295">
            <w:pPr>
              <w:spacing w:after="0" w:line="240" w:lineRule="auto"/>
              <w:jc w:val="center"/>
              <w:rPr>
                <w:rFonts w:eastAsia="Times New Roman" w:cstheme="minorHAnsi"/>
                <w:b/>
                <w:bCs/>
                <w:color w:val="FFFFFF"/>
                <w:lang w:eastAsia="en-GB"/>
              </w:rPr>
            </w:pPr>
            <w:r w:rsidRPr="002A6295">
              <w:rPr>
                <w:rFonts w:eastAsia="Times New Roman" w:cstheme="minorHAnsi"/>
                <w:b/>
                <w:bCs/>
                <w:color w:val="FFFFFF"/>
                <w:lang w:eastAsia="en-GB"/>
              </w:rPr>
              <w:t>FUTURE RISK RATING</w:t>
            </w:r>
          </w:p>
        </w:tc>
      </w:tr>
      <w:tr w:rsidR="002A6295" w:rsidRPr="002A6295" w:rsidTr="002A6295">
        <w:trPr>
          <w:trHeight w:val="450"/>
        </w:trPr>
        <w:tc>
          <w:tcPr>
            <w:tcW w:w="737" w:type="dxa"/>
            <w:vMerge/>
            <w:tcBorders>
              <w:top w:val="single" w:sz="4" w:space="0" w:color="auto"/>
              <w:left w:val="single" w:sz="4" w:space="0" w:color="auto"/>
              <w:bottom w:val="single" w:sz="4" w:space="0" w:color="000000"/>
              <w:right w:val="single" w:sz="4" w:space="0" w:color="auto"/>
            </w:tcBorders>
            <w:vAlign w:val="center"/>
            <w:hideMark/>
          </w:tcPr>
          <w:p w:rsidR="002A6295" w:rsidRPr="002A6295" w:rsidRDefault="002A6295" w:rsidP="002A6295">
            <w:pPr>
              <w:spacing w:after="0" w:line="240" w:lineRule="auto"/>
              <w:rPr>
                <w:rFonts w:eastAsia="Times New Roman" w:cstheme="minorHAnsi"/>
                <w:b/>
                <w:bCs/>
                <w:color w:val="FFFFFF"/>
                <w:lang w:eastAsia="en-GB"/>
              </w:rPr>
            </w:pPr>
          </w:p>
        </w:tc>
        <w:tc>
          <w:tcPr>
            <w:tcW w:w="7418" w:type="dxa"/>
            <w:gridSpan w:val="2"/>
            <w:vMerge/>
            <w:tcBorders>
              <w:top w:val="single" w:sz="4" w:space="0" w:color="auto"/>
              <w:left w:val="single" w:sz="4" w:space="0" w:color="auto"/>
              <w:bottom w:val="single" w:sz="4" w:space="0" w:color="000000"/>
              <w:right w:val="single" w:sz="4" w:space="0" w:color="000000"/>
            </w:tcBorders>
            <w:vAlign w:val="center"/>
            <w:hideMark/>
          </w:tcPr>
          <w:p w:rsidR="002A6295" w:rsidRPr="002A6295" w:rsidRDefault="002A6295" w:rsidP="002A6295">
            <w:pPr>
              <w:spacing w:after="0" w:line="240" w:lineRule="auto"/>
              <w:rPr>
                <w:rFonts w:eastAsia="Times New Roman" w:cstheme="minorHAnsi"/>
                <w:b/>
                <w:bCs/>
                <w:color w:val="FFFFFF"/>
                <w:lang w:eastAsia="en-GB"/>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2A6295" w:rsidRPr="002A6295" w:rsidRDefault="002A6295" w:rsidP="002A6295">
            <w:pPr>
              <w:spacing w:after="0" w:line="240" w:lineRule="auto"/>
              <w:rPr>
                <w:rFonts w:eastAsia="Times New Roman" w:cstheme="minorHAnsi"/>
                <w:b/>
                <w:bCs/>
                <w:color w:val="FFFFFF"/>
                <w:lang w:eastAsia="en-GB"/>
              </w:rPr>
            </w:pPr>
          </w:p>
        </w:tc>
        <w:tc>
          <w:tcPr>
            <w:tcW w:w="3230" w:type="dxa"/>
            <w:gridSpan w:val="3"/>
            <w:vMerge/>
            <w:tcBorders>
              <w:top w:val="single" w:sz="4" w:space="0" w:color="auto"/>
              <w:left w:val="single" w:sz="4" w:space="0" w:color="auto"/>
              <w:bottom w:val="single" w:sz="4" w:space="0" w:color="auto"/>
              <w:right w:val="single" w:sz="4" w:space="0" w:color="auto"/>
            </w:tcBorders>
            <w:vAlign w:val="center"/>
            <w:hideMark/>
          </w:tcPr>
          <w:p w:rsidR="002A6295" w:rsidRPr="002A6295" w:rsidRDefault="002A6295" w:rsidP="002A6295">
            <w:pPr>
              <w:spacing w:after="0" w:line="240" w:lineRule="auto"/>
              <w:rPr>
                <w:rFonts w:eastAsia="Times New Roman" w:cstheme="minorHAnsi"/>
                <w:b/>
                <w:bCs/>
                <w:color w:val="FFFFFF"/>
                <w:lang w:eastAsia="en-GB"/>
              </w:rPr>
            </w:pPr>
          </w:p>
        </w:tc>
      </w:tr>
      <w:tr w:rsidR="002A6295" w:rsidRPr="002A6295" w:rsidTr="002A6295">
        <w:trPr>
          <w:trHeight w:val="510"/>
        </w:trPr>
        <w:tc>
          <w:tcPr>
            <w:tcW w:w="737" w:type="dxa"/>
            <w:tcBorders>
              <w:top w:val="nil"/>
              <w:left w:val="single" w:sz="4" w:space="0" w:color="auto"/>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 </w:t>
            </w:r>
          </w:p>
        </w:tc>
        <w:tc>
          <w:tcPr>
            <w:tcW w:w="3442" w:type="dxa"/>
            <w:tcBorders>
              <w:top w:val="nil"/>
              <w:left w:val="nil"/>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RISK</w:t>
            </w:r>
          </w:p>
        </w:tc>
        <w:tc>
          <w:tcPr>
            <w:tcW w:w="3976" w:type="dxa"/>
            <w:tcBorders>
              <w:top w:val="nil"/>
              <w:left w:val="nil"/>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IMPACT</w:t>
            </w:r>
          </w:p>
        </w:tc>
        <w:tc>
          <w:tcPr>
            <w:tcW w:w="4115" w:type="dxa"/>
            <w:tcBorders>
              <w:top w:val="nil"/>
              <w:left w:val="nil"/>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 </w:t>
            </w:r>
          </w:p>
        </w:tc>
        <w:tc>
          <w:tcPr>
            <w:tcW w:w="957" w:type="dxa"/>
            <w:tcBorders>
              <w:top w:val="nil"/>
              <w:left w:val="nil"/>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IMPACT {1-5}</w:t>
            </w:r>
          </w:p>
        </w:tc>
        <w:tc>
          <w:tcPr>
            <w:tcW w:w="1323" w:type="dxa"/>
            <w:tcBorders>
              <w:top w:val="nil"/>
              <w:left w:val="nil"/>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LIKELIHOOD {1-5}</w:t>
            </w:r>
          </w:p>
        </w:tc>
        <w:tc>
          <w:tcPr>
            <w:tcW w:w="950" w:type="dxa"/>
            <w:tcBorders>
              <w:top w:val="nil"/>
              <w:left w:val="nil"/>
              <w:bottom w:val="single" w:sz="4" w:space="0" w:color="auto"/>
              <w:right w:val="single" w:sz="4" w:space="0" w:color="auto"/>
            </w:tcBorders>
            <w:shd w:val="clear" w:color="000000" w:fill="CC99FF"/>
            <w:vAlign w:val="center"/>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TOTAL</w:t>
            </w:r>
          </w:p>
        </w:tc>
      </w:tr>
      <w:tr w:rsidR="002A6295" w:rsidRPr="002A6295" w:rsidTr="002A6295">
        <w:trPr>
          <w:trHeight w:val="3570"/>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1</w:t>
            </w:r>
          </w:p>
        </w:tc>
        <w:tc>
          <w:tcPr>
            <w:tcW w:w="3442"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b/>
                <w:bCs/>
                <w:lang w:eastAsia="en-GB"/>
              </w:rPr>
              <w:t>Delivery of the projects to meet financial and output targets in a timely manner</w:t>
            </w:r>
            <w:r w:rsidRPr="002A6295">
              <w:rPr>
                <w:rFonts w:eastAsia="Times New Roman" w:cstheme="minorHAnsi"/>
                <w:lang w:eastAsia="en-GB"/>
              </w:rPr>
              <w:t xml:space="preserve"> are adversely affected by changes to factors such as partner staffing resources, capacity or skills, planning or environmental issues, construction related factors, or financial issues, which could result in delays to projects and/or the programme success given the sensitivity of the programme on a small number of key projects.</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Projects and/or programme does not deliver cost or quality requirements on time and fails to achieve the targeted outputs and outcomes within the Growth Deal timeframe.</w:t>
            </w:r>
            <w:r w:rsidRPr="002A6295">
              <w:rPr>
                <w:rFonts w:eastAsia="Times New Roman" w:cstheme="minorHAnsi"/>
                <w:lang w:eastAsia="en-GB"/>
              </w:rPr>
              <w:br/>
              <w:t xml:space="preserve">Potential to damage relationships with the LEP. </w:t>
            </w:r>
            <w:r w:rsidRPr="002A6295">
              <w:rPr>
                <w:rFonts w:eastAsia="Times New Roman" w:cstheme="minorHAnsi"/>
                <w:lang w:eastAsia="en-GB"/>
              </w:rPr>
              <w:br/>
              <w:t xml:space="preserve">Reputation of the </w:t>
            </w:r>
            <w:proofErr w:type="gramStart"/>
            <w:r w:rsidRPr="002A6295">
              <w:rPr>
                <w:rFonts w:eastAsia="Times New Roman" w:cstheme="minorHAnsi"/>
                <w:lang w:eastAsia="en-GB"/>
              </w:rPr>
              <w:t>LEP  as</w:t>
            </w:r>
            <w:proofErr w:type="gramEnd"/>
            <w:r w:rsidRPr="002A6295">
              <w:rPr>
                <w:rFonts w:eastAsia="Times New Roman" w:cstheme="minorHAnsi"/>
                <w:lang w:eastAsia="en-GB"/>
              </w:rPr>
              <w:t xml:space="preserve"> able to deliver bids submitted to Government is negatively affected.</w:t>
            </w:r>
            <w:r w:rsidRPr="002A6295">
              <w:rPr>
                <w:rFonts w:eastAsia="Times New Roman" w:cstheme="minorHAnsi"/>
                <w:lang w:eastAsia="en-GB"/>
              </w:rPr>
              <w:br/>
              <w:t>DCLG could potentially take back flexibilities given to manage the LGF Programme.</w:t>
            </w:r>
            <w:r w:rsidRPr="002A6295">
              <w:rPr>
                <w:rFonts w:eastAsia="Times New Roman" w:cstheme="minorHAnsi"/>
                <w:lang w:eastAsia="en-GB"/>
              </w:rPr>
              <w:br/>
              <w:t>Could affect the award of future funding to the LEP.</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Look at revising the offer letter to put stiffer penalties in place for </w:t>
            </w:r>
            <w:proofErr w:type="spellStart"/>
            <w:proofErr w:type="gramStart"/>
            <w:r w:rsidRPr="002A6295">
              <w:rPr>
                <w:rFonts w:eastAsia="Times New Roman" w:cstheme="minorHAnsi"/>
                <w:lang w:eastAsia="en-GB"/>
              </w:rPr>
              <w:t>non achievement</w:t>
            </w:r>
            <w:proofErr w:type="spellEnd"/>
            <w:proofErr w:type="gramEnd"/>
            <w:r w:rsidRPr="002A6295">
              <w:rPr>
                <w:rFonts w:eastAsia="Times New Roman" w:cstheme="minorHAnsi"/>
                <w:lang w:eastAsia="en-GB"/>
              </w:rPr>
              <w:t xml:space="preserve"> of outputs.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4</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12</w:t>
            </w:r>
          </w:p>
        </w:tc>
      </w:tr>
      <w:tr w:rsidR="002A6295" w:rsidRPr="002A6295" w:rsidTr="002A6295">
        <w:trPr>
          <w:trHeight w:val="3570"/>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2</w:t>
            </w:r>
          </w:p>
        </w:tc>
        <w:tc>
          <w:tcPr>
            <w:tcW w:w="3442"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Overall programme performance impacted by </w:t>
            </w:r>
            <w:proofErr w:type="gramStart"/>
            <w:r w:rsidRPr="002A6295">
              <w:rPr>
                <w:rFonts w:eastAsia="Times New Roman" w:cstheme="minorHAnsi"/>
                <w:lang w:eastAsia="en-GB"/>
              </w:rPr>
              <w:t>poor performance</w:t>
            </w:r>
            <w:proofErr w:type="gramEnd"/>
            <w:r w:rsidRPr="002A6295">
              <w:rPr>
                <w:rFonts w:eastAsia="Times New Roman" w:cstheme="minorHAnsi"/>
                <w:lang w:eastAsia="en-GB"/>
              </w:rPr>
              <w:t xml:space="preserve"> of the Major transport Projects</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LGF programme does not realise its economic growth targets due to nature of focus of Department of Transport objectives versus LGF outputs/outcomes.                                                                                        Achievement of the aims and objectives of the programme adversely affected by any significant issue or risk in any one of the projects.</w:t>
            </w:r>
            <w:r w:rsidRPr="002A6295">
              <w:rPr>
                <w:rFonts w:eastAsia="Times New Roman" w:cstheme="minorHAnsi"/>
                <w:lang w:eastAsia="en-GB"/>
              </w:rPr>
              <w:br/>
              <w:t>Reputation of CWLEP to deliver is adversely affected due to the scale of the transport scheme projects.</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 Agreement with </w:t>
            </w:r>
            <w:proofErr w:type="spellStart"/>
            <w:r w:rsidRPr="002A6295">
              <w:rPr>
                <w:rFonts w:eastAsia="Times New Roman" w:cstheme="minorHAnsi"/>
                <w:lang w:eastAsia="en-GB"/>
              </w:rPr>
              <w:t>DfT</w:t>
            </w:r>
            <w:proofErr w:type="spellEnd"/>
            <w:r w:rsidRPr="002A6295">
              <w:rPr>
                <w:rFonts w:eastAsia="Times New Roman" w:cstheme="minorHAnsi"/>
                <w:lang w:eastAsia="en-GB"/>
              </w:rPr>
              <w:t xml:space="preserve"> and grant recipients on monitoring and reporting requirements against LGF targets.</w:t>
            </w:r>
            <w:r w:rsidRPr="002A6295">
              <w:rPr>
                <w:rFonts w:eastAsia="Times New Roman" w:cstheme="minorHAnsi"/>
                <w:lang w:eastAsia="en-GB"/>
              </w:rPr>
              <w:br/>
              <w:t xml:space="preserve">- Work with </w:t>
            </w:r>
            <w:proofErr w:type="spellStart"/>
            <w:r w:rsidRPr="002A6295">
              <w:rPr>
                <w:rFonts w:eastAsia="Times New Roman" w:cstheme="minorHAnsi"/>
                <w:lang w:eastAsia="en-GB"/>
              </w:rPr>
              <w:t>DfT</w:t>
            </w:r>
            <w:proofErr w:type="spellEnd"/>
            <w:r w:rsidRPr="002A6295">
              <w:rPr>
                <w:rFonts w:eastAsia="Times New Roman" w:cstheme="minorHAnsi"/>
                <w:lang w:eastAsia="en-GB"/>
              </w:rPr>
              <w:t xml:space="preserve"> to understand the funding conditions and any conditions/clawback if the non-transport outputs are not achieved.</w:t>
            </w:r>
            <w:r w:rsidRPr="002A6295">
              <w:rPr>
                <w:rFonts w:eastAsia="Times New Roman" w:cstheme="minorHAnsi"/>
                <w:lang w:eastAsia="en-GB"/>
              </w:rPr>
              <w:br/>
              <w:t>- Explore to tie in stronger penalties to non-achievement of outputs to the funding offer.</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4</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12</w:t>
            </w:r>
          </w:p>
        </w:tc>
      </w:tr>
      <w:tr w:rsidR="002A6295" w:rsidRPr="002A6295" w:rsidTr="002A6295">
        <w:trPr>
          <w:trHeight w:val="3060"/>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lastRenderedPageBreak/>
              <w:t>3</w:t>
            </w:r>
          </w:p>
        </w:tc>
        <w:tc>
          <w:tcPr>
            <w:tcW w:w="3442"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Lack of suitable projects and/or appropriate match funding to </w:t>
            </w:r>
            <w:r w:rsidRPr="002A6295">
              <w:rPr>
                <w:rFonts w:eastAsia="Times New Roman" w:cstheme="minorHAnsi"/>
                <w:b/>
                <w:bCs/>
                <w:lang w:eastAsia="en-GB"/>
              </w:rPr>
              <w:t>form ESIF programme pipeline</w:t>
            </w:r>
            <w:r w:rsidRPr="002A6295">
              <w:rPr>
                <w:rFonts w:eastAsia="Times New Roman" w:cstheme="minorHAnsi"/>
                <w:lang w:eastAsia="en-GB"/>
              </w:rPr>
              <w:t xml:space="preserve"> to meet eligible criteria including meeting cross cutting thematic objectives and revised Treasury deadline of March 2018 for final project submissions. Flexibility or delay in decisions to use of LGF3 as match. Lack of partner support to deploy remaining funds and sources of match funding particularly under the European Social Fund.</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ESIF programme does not meet its outputs/outcomes which could result in loss of funding for the sub region.                                                                                                                            Damage to LEP reputation and credibility both locally and nationally as well as with Government which could impact on consideration for future funding rounds i.e. the future prosperity fund.</w:t>
            </w:r>
            <w:r w:rsidRPr="002A6295">
              <w:rPr>
                <w:rFonts w:eastAsia="Times New Roman" w:cstheme="minorHAnsi"/>
                <w:lang w:eastAsia="en-GB"/>
              </w:rPr>
              <w:br/>
              <w:t>Loss of funding to the Sub Region to support delivery of growth, jobs and businesses in Cheshire and Warrington and delivery of SEP.</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Consider more </w:t>
            </w:r>
            <w:proofErr w:type="gramStart"/>
            <w:r w:rsidRPr="002A6295">
              <w:rPr>
                <w:rFonts w:eastAsia="Times New Roman" w:cstheme="minorHAnsi"/>
                <w:lang w:eastAsia="en-GB"/>
              </w:rPr>
              <w:t>long term</w:t>
            </w:r>
            <w:proofErr w:type="gramEnd"/>
            <w:r w:rsidRPr="002A6295">
              <w:rPr>
                <w:rFonts w:eastAsia="Times New Roman" w:cstheme="minorHAnsi"/>
                <w:lang w:eastAsia="en-GB"/>
              </w:rPr>
              <w:t xml:space="preserve"> staffing arrangements.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4</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12</w:t>
            </w:r>
          </w:p>
        </w:tc>
      </w:tr>
      <w:tr w:rsidR="002A6295" w:rsidRPr="002A6295" w:rsidTr="002A6295">
        <w:trPr>
          <w:trHeight w:val="1530"/>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7</w:t>
            </w:r>
          </w:p>
        </w:tc>
        <w:tc>
          <w:tcPr>
            <w:tcW w:w="3442"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Failure to implement the seven recommendations of the </w:t>
            </w:r>
            <w:r w:rsidRPr="002A6295">
              <w:rPr>
                <w:rFonts w:eastAsia="Times New Roman" w:cstheme="minorHAnsi"/>
                <w:b/>
                <w:bCs/>
                <w:lang w:eastAsia="en-GB"/>
              </w:rPr>
              <w:t>ABR Review</w:t>
            </w:r>
            <w:r w:rsidRPr="002A6295">
              <w:rPr>
                <w:rFonts w:eastAsia="Times New Roman" w:cstheme="minorHAnsi"/>
                <w:lang w:eastAsia="en-GB"/>
              </w:rPr>
              <w:t xml:space="preserve"> of </w:t>
            </w:r>
            <w:proofErr w:type="gramStart"/>
            <w:r w:rsidRPr="002A6295">
              <w:rPr>
                <w:rFonts w:eastAsia="Times New Roman" w:cstheme="minorHAnsi"/>
                <w:lang w:eastAsia="en-GB"/>
              </w:rPr>
              <w:t>FE  has</w:t>
            </w:r>
            <w:proofErr w:type="gramEnd"/>
            <w:r w:rsidRPr="002A6295">
              <w:rPr>
                <w:rFonts w:eastAsia="Times New Roman" w:cstheme="minorHAnsi"/>
                <w:lang w:eastAsia="en-GB"/>
              </w:rPr>
              <w:t xml:space="preserve"> a detrimental effect on the delivery of FE skills provision across Cheshire and Warrington..</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The benefits to employers, learners, the colleges and the economy more generally will not be achieved.</w:t>
            </w:r>
          </w:p>
        </w:tc>
        <w:tc>
          <w:tcPr>
            <w:tcW w:w="4115" w:type="dxa"/>
            <w:tcBorders>
              <w:top w:val="nil"/>
              <w:left w:val="nil"/>
              <w:bottom w:val="single" w:sz="4" w:space="0" w:color="auto"/>
              <w:right w:val="single" w:sz="4" w:space="0" w:color="auto"/>
            </w:tcBorders>
            <w:shd w:val="clear" w:color="000000" w:fill="FFFFFF"/>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The Strategic Forum will work to achieve the political buy-in to the implementation</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r w:rsidR="002A6295" w:rsidRPr="002A6295" w:rsidTr="002A629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A6295" w:rsidRPr="002A6295" w:rsidRDefault="002A6295" w:rsidP="002A6295">
            <w:pPr>
              <w:spacing w:after="0" w:line="240" w:lineRule="auto"/>
              <w:jc w:val="right"/>
              <w:rPr>
                <w:rFonts w:eastAsia="Times New Roman" w:cstheme="minorHAnsi"/>
                <w:lang w:eastAsia="en-GB"/>
              </w:rPr>
            </w:pPr>
            <w:r w:rsidRPr="002A6295">
              <w:rPr>
                <w:rFonts w:eastAsia="Times New Roman" w:cstheme="minorHAnsi"/>
                <w:lang w:eastAsia="en-GB"/>
              </w:rPr>
              <w:t>31</w:t>
            </w:r>
          </w:p>
        </w:tc>
        <w:tc>
          <w:tcPr>
            <w:tcW w:w="3442"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Ellesmere Port Estate project significantly delayed and or reduced in scale</w:t>
            </w:r>
          </w:p>
        </w:tc>
        <w:tc>
          <w:tcPr>
            <w:tcW w:w="3976"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Would need to find another project to take up spend, which will get increasingly harder as time passes.</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Potentially need to find new "off the shelf" project that could achieve spend and necessary outputs within LGF timescales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r w:rsidR="002A6295" w:rsidRPr="002A6295" w:rsidTr="002A6295">
        <w:trPr>
          <w:trHeight w:val="142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A6295" w:rsidRPr="002A6295" w:rsidRDefault="002A6295" w:rsidP="002A6295">
            <w:pPr>
              <w:spacing w:after="0" w:line="240" w:lineRule="auto"/>
              <w:jc w:val="right"/>
              <w:rPr>
                <w:rFonts w:eastAsia="Times New Roman" w:cstheme="minorHAnsi"/>
                <w:lang w:eastAsia="en-GB"/>
              </w:rPr>
            </w:pPr>
            <w:r w:rsidRPr="002A6295">
              <w:rPr>
                <w:rFonts w:eastAsia="Times New Roman" w:cstheme="minorHAnsi"/>
                <w:lang w:eastAsia="en-GB"/>
              </w:rPr>
              <w:t>33</w:t>
            </w:r>
          </w:p>
        </w:tc>
        <w:tc>
          <w:tcPr>
            <w:tcW w:w="3442"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Fragility of current government means that there is a risk the government could change and lead to a change in policy regarding LEPs.</w:t>
            </w:r>
          </w:p>
        </w:tc>
        <w:tc>
          <w:tcPr>
            <w:tcW w:w="3976"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Change in funding and support for LEPs</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Continue to promote the work of the LEP and engage counsellors and MPs from all parties.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r w:rsidR="002A6295" w:rsidRPr="002A6295" w:rsidTr="002A6295">
        <w:trPr>
          <w:trHeight w:val="199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A6295" w:rsidRPr="002A6295" w:rsidRDefault="002A6295" w:rsidP="002A6295">
            <w:pPr>
              <w:spacing w:after="0" w:line="240" w:lineRule="auto"/>
              <w:jc w:val="right"/>
              <w:rPr>
                <w:rFonts w:eastAsia="Times New Roman" w:cstheme="minorHAnsi"/>
                <w:lang w:eastAsia="en-GB"/>
              </w:rPr>
            </w:pPr>
            <w:r w:rsidRPr="002A6295">
              <w:rPr>
                <w:rFonts w:eastAsia="Times New Roman" w:cstheme="minorHAnsi"/>
                <w:lang w:eastAsia="en-GB"/>
              </w:rPr>
              <w:lastRenderedPageBreak/>
              <w:t>34</w:t>
            </w:r>
          </w:p>
        </w:tc>
        <w:tc>
          <w:tcPr>
            <w:tcW w:w="3442"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Due to the unusual investment profile the programme may underperform in 17/18 and then over perform in 19/20 leading to cash flow issues.</w:t>
            </w:r>
          </w:p>
        </w:tc>
        <w:tc>
          <w:tcPr>
            <w:tcW w:w="3976"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There is reputational risk with underperforming this year which could reduce funding available to us in future years.  The lack of cash flow in future years again will affect reputation with stakeholders and is difficult to manage once projects are on site.</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May need to agree staggering payment profile with LAs.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r w:rsidR="002A6295" w:rsidRPr="002A6295" w:rsidTr="002A6295">
        <w:trPr>
          <w:trHeight w:val="4590"/>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5</w:t>
            </w:r>
          </w:p>
        </w:tc>
        <w:tc>
          <w:tcPr>
            <w:tcW w:w="3442" w:type="dxa"/>
            <w:tcBorders>
              <w:top w:val="nil"/>
              <w:left w:val="nil"/>
              <w:bottom w:val="single" w:sz="4" w:space="0" w:color="auto"/>
              <w:right w:val="single" w:sz="4" w:space="0" w:color="auto"/>
            </w:tcBorders>
            <w:shd w:val="clear" w:color="000000" w:fill="FFFFFF"/>
            <w:hideMark/>
          </w:tcPr>
          <w:p w:rsidR="002A6295" w:rsidRPr="002A6295" w:rsidRDefault="002A6295" w:rsidP="002A6295">
            <w:pPr>
              <w:spacing w:after="0" w:line="240" w:lineRule="auto"/>
              <w:rPr>
                <w:rFonts w:eastAsia="Times New Roman" w:cstheme="minorHAnsi"/>
                <w:b/>
                <w:bCs/>
                <w:lang w:eastAsia="en-GB"/>
              </w:rPr>
            </w:pPr>
            <w:r w:rsidRPr="002A6295">
              <w:rPr>
                <w:rFonts w:eastAsia="Times New Roman" w:cstheme="minorHAnsi"/>
                <w:b/>
                <w:bCs/>
                <w:lang w:eastAsia="en-GB"/>
              </w:rPr>
              <w:t>ESIF targets and measurement criteria for C&amp;W, set by Government to meet the National targets, pose a challenge in some of the priority axes to deliver against</w:t>
            </w:r>
            <w:r w:rsidRPr="002A6295">
              <w:rPr>
                <w:rFonts w:eastAsia="Times New Roman" w:cstheme="minorHAnsi"/>
                <w:lang w:eastAsia="en-GB"/>
              </w:rPr>
              <w:t xml:space="preserve"> which puts at risk the achievement of overall LEP ESIF targets and aspirations and could put at risk the 6% performance programme target.</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Agreed targets may not be delivered and the ESIF and SEP targets not delivered in full. </w:t>
            </w:r>
            <w:r w:rsidRPr="002A6295">
              <w:rPr>
                <w:rFonts w:eastAsia="Times New Roman" w:cstheme="minorHAnsi"/>
                <w:lang w:eastAsia="en-GB"/>
              </w:rPr>
              <w:br/>
              <w:t>If by December 2018, the LEP is not forecasting to achieve its targets by the end of the programme, it risks losing a performance reserve of 6% of the programme (approx. £3.6m)</w:t>
            </w:r>
            <w:r w:rsidRPr="002A6295">
              <w:rPr>
                <w:rFonts w:eastAsia="Times New Roman" w:cstheme="minorHAnsi"/>
                <w:lang w:eastAsia="en-GB"/>
              </w:rPr>
              <w:br/>
              <w:t>Reputational damage if the LEP does not meet its targets.</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Work Northern Powerhouse Investment Fund (NPIF) to explore achievement of additional programme outputs and outcomes and ongoing sustainable reinvestment of EU funds post Brexit.</w:t>
            </w:r>
            <w:r w:rsidRPr="002A6295">
              <w:rPr>
                <w:rFonts w:eastAsia="Times New Roman" w:cstheme="minorHAnsi"/>
                <w:lang w:eastAsia="en-GB"/>
              </w:rPr>
              <w:br/>
              <w:t xml:space="preserve">- Possible increase in fund allocation of funds e.g. rural funding. </w:t>
            </w:r>
            <w:r w:rsidRPr="002A6295">
              <w:rPr>
                <w:rFonts w:eastAsia="Times New Roman" w:cstheme="minorHAnsi"/>
                <w:lang w:eastAsia="en-GB"/>
              </w:rPr>
              <w:br/>
              <w:t xml:space="preserve">- Work with Government on any </w:t>
            </w:r>
            <w:proofErr w:type="gramStart"/>
            <w:r w:rsidRPr="002A6295">
              <w:rPr>
                <w:rFonts w:eastAsia="Times New Roman" w:cstheme="minorHAnsi"/>
                <w:lang w:eastAsia="en-GB"/>
              </w:rPr>
              <w:t>early end</w:t>
            </w:r>
            <w:proofErr w:type="gramEnd"/>
            <w:r w:rsidRPr="002A6295">
              <w:rPr>
                <w:rFonts w:eastAsia="Times New Roman" w:cstheme="minorHAnsi"/>
                <w:lang w:eastAsia="en-GB"/>
              </w:rPr>
              <w:t xml:space="preserve"> of programme targets in view of Brexit. Increased output targets for projects required if investments made in Evergreen. New Calls to specifically focus on additional </w:t>
            </w:r>
            <w:proofErr w:type="spellStart"/>
            <w:r w:rsidRPr="002A6295">
              <w:rPr>
                <w:rFonts w:eastAsia="Times New Roman" w:cstheme="minorHAnsi"/>
                <w:lang w:eastAsia="en-GB"/>
              </w:rPr>
              <w:t>out put</w:t>
            </w:r>
            <w:proofErr w:type="spellEnd"/>
            <w:r w:rsidRPr="002A6295">
              <w:rPr>
                <w:rFonts w:eastAsia="Times New Roman" w:cstheme="minorHAnsi"/>
                <w:lang w:eastAsia="en-GB"/>
              </w:rPr>
              <w:t xml:space="preserve"> requirements in key areas (e.g. grants to business).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r w:rsidR="002A6295" w:rsidRPr="002A6295" w:rsidTr="002A6295">
        <w:trPr>
          <w:trHeight w:val="1275"/>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 </w:t>
            </w:r>
          </w:p>
        </w:tc>
        <w:tc>
          <w:tcPr>
            <w:tcW w:w="3442"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Northgate isn't delivered to the size and scale anticipated when the bus station scheme was approved or within the timescales given.</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Loss of outputs and potential reputational damage.  Would affect the overall impact of the LGF programme.  Chester City continues to lose trade impacting the businesses that already exist there.</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Offer to provide additional support to the delivery of the project?</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bl>
    <w:p w:rsidR="00B64397" w:rsidRDefault="00B64397" w:rsidP="00D63FB4">
      <w:pPr>
        <w:rPr>
          <w:rFonts w:cstheme="minorHAnsi"/>
          <w:b/>
          <w:sz w:val="24"/>
          <w:szCs w:val="24"/>
        </w:rPr>
      </w:pPr>
    </w:p>
    <w:p w:rsidR="002A6295" w:rsidRDefault="002A6295" w:rsidP="00153C0D">
      <w:pPr>
        <w:jc w:val="both"/>
        <w:rPr>
          <w:rFonts w:cstheme="minorHAnsi"/>
          <w:b/>
          <w:sz w:val="24"/>
          <w:szCs w:val="24"/>
          <w:u w:val="single"/>
        </w:rPr>
      </w:pPr>
    </w:p>
    <w:p w:rsidR="005F3960" w:rsidRPr="00D7098F" w:rsidRDefault="003F7CE2" w:rsidP="00153C0D">
      <w:pPr>
        <w:jc w:val="both"/>
        <w:rPr>
          <w:rFonts w:cstheme="minorHAnsi"/>
          <w:b/>
          <w:sz w:val="24"/>
          <w:szCs w:val="24"/>
          <w:u w:val="single"/>
        </w:rPr>
      </w:pPr>
      <w:r w:rsidRPr="00D7098F">
        <w:rPr>
          <w:rFonts w:cstheme="minorHAnsi"/>
          <w:b/>
          <w:sz w:val="24"/>
          <w:szCs w:val="24"/>
          <w:u w:val="single"/>
        </w:rPr>
        <w:lastRenderedPageBreak/>
        <w:t>Appendix A</w:t>
      </w:r>
    </w:p>
    <w:p w:rsidR="003F7CE2" w:rsidRDefault="003F7CE2" w:rsidP="00153C0D">
      <w:pPr>
        <w:jc w:val="both"/>
        <w:rPr>
          <w:rFonts w:cstheme="minorHAnsi"/>
          <w:sz w:val="24"/>
          <w:szCs w:val="24"/>
        </w:rPr>
      </w:pPr>
      <w:r>
        <w:rPr>
          <w:rFonts w:cstheme="minorHAnsi"/>
          <w:sz w:val="24"/>
          <w:szCs w:val="24"/>
        </w:rPr>
        <w:t>Sustainable Travel Access Plan Bid summary</w:t>
      </w:r>
    </w:p>
    <w:p w:rsidR="003F7CE2" w:rsidRDefault="003F7CE2" w:rsidP="00153C0D">
      <w:pPr>
        <w:jc w:val="both"/>
        <w:rPr>
          <w:rFonts w:cstheme="minorHAnsi"/>
          <w:sz w:val="24"/>
          <w:szCs w:val="24"/>
        </w:rPr>
      </w:pPr>
    </w:p>
    <w:tbl>
      <w:tblPr>
        <w:tblW w:w="13888" w:type="dxa"/>
        <w:tblLook w:val="04A0" w:firstRow="1" w:lastRow="0" w:firstColumn="1" w:lastColumn="0" w:noHBand="0" w:noVBand="1"/>
      </w:tblPr>
      <w:tblGrid>
        <w:gridCol w:w="2360"/>
        <w:gridCol w:w="4780"/>
        <w:gridCol w:w="718"/>
        <w:gridCol w:w="3000"/>
        <w:gridCol w:w="1550"/>
        <w:gridCol w:w="1480"/>
      </w:tblGrid>
      <w:tr w:rsidR="00D7098F" w:rsidRPr="00325684" w:rsidTr="00D7098F">
        <w:trPr>
          <w:trHeight w:val="900"/>
        </w:trPr>
        <w:tc>
          <w:tcPr>
            <w:tcW w:w="2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b/>
                <w:bCs/>
                <w:color w:val="000000"/>
                <w:lang w:eastAsia="en-GB"/>
              </w:rPr>
            </w:pPr>
            <w:r w:rsidRPr="00325684">
              <w:rPr>
                <w:rFonts w:ascii="Calibri" w:eastAsia="Times New Roman" w:hAnsi="Calibri" w:cs="Calibri"/>
                <w:b/>
                <w:bCs/>
                <w:color w:val="000000"/>
                <w:lang w:eastAsia="en-GB"/>
              </w:rPr>
              <w:t>Name of Scheme</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b/>
                <w:bCs/>
                <w:color w:val="000000"/>
                <w:lang w:eastAsia="en-GB"/>
              </w:rPr>
            </w:pPr>
            <w:r w:rsidRPr="00325684">
              <w:rPr>
                <w:rFonts w:ascii="Calibri" w:eastAsia="Times New Roman" w:hAnsi="Calibri" w:cs="Calibri"/>
                <w:b/>
                <w:bCs/>
                <w:color w:val="000000"/>
                <w:lang w:eastAsia="en-GB"/>
              </w:rPr>
              <w:t>Description</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b/>
                <w:bCs/>
                <w:color w:val="000000"/>
                <w:lang w:eastAsia="en-GB"/>
              </w:rPr>
            </w:pPr>
            <w:r w:rsidRPr="00325684">
              <w:rPr>
                <w:rFonts w:ascii="Calibri" w:eastAsia="Times New Roman" w:hAnsi="Calibri" w:cs="Calibri"/>
                <w:b/>
                <w:bCs/>
                <w:color w:val="000000"/>
                <w:lang w:eastAsia="en-GB"/>
              </w:rPr>
              <w:t>BCR</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b/>
                <w:bCs/>
                <w:color w:val="000000"/>
                <w:lang w:eastAsia="en-GB"/>
              </w:rPr>
            </w:pPr>
            <w:r w:rsidRPr="00325684">
              <w:rPr>
                <w:rFonts w:ascii="Calibri" w:eastAsia="Times New Roman" w:hAnsi="Calibri" w:cs="Calibri"/>
                <w:b/>
                <w:bCs/>
                <w:color w:val="000000"/>
                <w:lang w:eastAsia="en-GB"/>
              </w:rPr>
              <w:t>Outputs</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jc w:val="center"/>
              <w:rPr>
                <w:rFonts w:ascii="Calibri" w:eastAsia="Times New Roman" w:hAnsi="Calibri" w:cs="Calibri"/>
                <w:b/>
                <w:bCs/>
                <w:color w:val="000000"/>
                <w:lang w:eastAsia="en-GB"/>
              </w:rPr>
            </w:pPr>
            <w:r w:rsidRPr="00325684">
              <w:rPr>
                <w:rFonts w:ascii="Calibri" w:eastAsia="Times New Roman" w:hAnsi="Calibri" w:cs="Calibri"/>
                <w:b/>
                <w:bCs/>
                <w:color w:val="000000"/>
                <w:lang w:eastAsia="en-GB"/>
              </w:rPr>
              <w:t>Total Cost of scheme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jc w:val="center"/>
              <w:rPr>
                <w:rFonts w:ascii="Calibri" w:eastAsia="Times New Roman" w:hAnsi="Calibri" w:cs="Calibri"/>
                <w:b/>
                <w:bCs/>
                <w:color w:val="000000"/>
                <w:lang w:eastAsia="en-GB"/>
              </w:rPr>
            </w:pPr>
            <w:r w:rsidRPr="00325684">
              <w:rPr>
                <w:rFonts w:ascii="Calibri" w:eastAsia="Times New Roman" w:hAnsi="Calibri" w:cs="Calibri"/>
                <w:b/>
                <w:bCs/>
                <w:color w:val="000000"/>
                <w:lang w:eastAsia="en-GB"/>
              </w:rPr>
              <w:t>LGF requested (£)</w:t>
            </w:r>
          </w:p>
        </w:tc>
      </w:tr>
      <w:tr w:rsidR="00D7098F" w:rsidRPr="00325684" w:rsidTr="00D7098F">
        <w:trPr>
          <w:trHeight w:val="2617"/>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Burtonwood Omega Path</w:t>
            </w:r>
          </w:p>
        </w:tc>
        <w:tc>
          <w:tcPr>
            <w:tcW w:w="478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This is a new 3.5m wide shared use path alongside Burtonwood Road/Clay Lane in North Warrington which aims to provide a safe, secure and attractive cycling and walking link between the west side of Burtonwood village and the commercial and employment growth areas of Omega, Gemini and Lingley Mere. The length of the proposed path is 2.4km</w:t>
            </w:r>
          </w:p>
        </w:tc>
        <w:tc>
          <w:tcPr>
            <w:tcW w:w="718"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jc w:val="center"/>
              <w:rPr>
                <w:rFonts w:ascii="Calibri" w:eastAsia="Times New Roman" w:hAnsi="Calibri" w:cs="Calibri"/>
                <w:color w:val="000000"/>
                <w:lang w:eastAsia="en-GB"/>
              </w:rPr>
            </w:pPr>
            <w:r w:rsidRPr="00325684">
              <w:rPr>
                <w:rFonts w:ascii="Calibri" w:eastAsia="Times New Roman" w:hAnsi="Calibri" w:cs="Calibri"/>
                <w:color w:val="000000"/>
                <w:lang w:eastAsia="en-GB"/>
              </w:rPr>
              <w:t>4.57</w:t>
            </w:r>
          </w:p>
        </w:tc>
        <w:tc>
          <w:tcPr>
            <w:tcW w:w="300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Jobs Created 50                   Housing starts:  100           Housing Comp: 110           Pedestrian Users p.a.: 98670 Cyclists p.a.: 32,890                          Mobility Scooter users p.a.: 987                     Public Sector Leverage: £250k    Private Sector </w:t>
            </w:r>
            <w:proofErr w:type="gramStart"/>
            <w:r w:rsidRPr="00325684">
              <w:rPr>
                <w:rFonts w:ascii="Calibri" w:eastAsia="Times New Roman" w:hAnsi="Calibri" w:cs="Calibri"/>
                <w:color w:val="000000"/>
                <w:lang w:eastAsia="en-GB"/>
              </w:rPr>
              <w:t>Leverage:£</w:t>
            </w:r>
            <w:proofErr w:type="gramEnd"/>
            <w:r w:rsidRPr="00325684">
              <w:rPr>
                <w:rFonts w:ascii="Calibri" w:eastAsia="Times New Roman" w:hAnsi="Calibri" w:cs="Calibri"/>
                <w:color w:val="000000"/>
                <w:lang w:eastAsia="en-GB"/>
              </w:rPr>
              <w:t>250k           Inc. in GVA: £1.18m</w:t>
            </w:r>
          </w:p>
        </w:tc>
        <w:tc>
          <w:tcPr>
            <w:tcW w:w="155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1,000,000 </w:t>
            </w:r>
          </w:p>
        </w:tc>
        <w:tc>
          <w:tcPr>
            <w:tcW w:w="148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500,000 </w:t>
            </w:r>
          </w:p>
        </w:tc>
      </w:tr>
      <w:tr w:rsidR="00D7098F" w:rsidRPr="00325684" w:rsidTr="00D7098F">
        <w:trPr>
          <w:trHeight w:val="27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Chester Road</w:t>
            </w:r>
          </w:p>
        </w:tc>
        <w:tc>
          <w:tcPr>
            <w:tcW w:w="478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Pedestrian and cycle route along Chester Road.  Will link to Centre Park Link (another </w:t>
            </w:r>
            <w:proofErr w:type="spellStart"/>
            <w:r w:rsidRPr="00325684">
              <w:rPr>
                <w:rFonts w:ascii="Calibri" w:eastAsia="Times New Roman" w:hAnsi="Calibri" w:cs="Calibri"/>
                <w:color w:val="000000"/>
                <w:lang w:eastAsia="en-GB"/>
              </w:rPr>
              <w:t>LGf</w:t>
            </w:r>
            <w:proofErr w:type="spellEnd"/>
            <w:r w:rsidRPr="00325684">
              <w:rPr>
                <w:rFonts w:ascii="Calibri" w:eastAsia="Times New Roman" w:hAnsi="Calibri" w:cs="Calibri"/>
                <w:color w:val="000000"/>
                <w:lang w:eastAsia="en-GB"/>
              </w:rPr>
              <w:t xml:space="preserve"> </w:t>
            </w:r>
            <w:proofErr w:type="gramStart"/>
            <w:r w:rsidRPr="00325684">
              <w:rPr>
                <w:rFonts w:ascii="Calibri" w:eastAsia="Times New Roman" w:hAnsi="Calibri" w:cs="Calibri"/>
                <w:color w:val="000000"/>
                <w:lang w:eastAsia="en-GB"/>
              </w:rPr>
              <w:t>scheme)and</w:t>
            </w:r>
            <w:proofErr w:type="gramEnd"/>
            <w:r w:rsidRPr="00325684">
              <w:rPr>
                <w:rFonts w:ascii="Calibri" w:eastAsia="Times New Roman" w:hAnsi="Calibri" w:cs="Calibri"/>
                <w:color w:val="000000"/>
                <w:lang w:eastAsia="en-GB"/>
              </w:rPr>
              <w:t xml:space="preserve"> link into the trans Pennine Way.  Design competition proposed.</w:t>
            </w:r>
          </w:p>
        </w:tc>
        <w:tc>
          <w:tcPr>
            <w:tcW w:w="718"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jc w:val="center"/>
              <w:rPr>
                <w:rFonts w:ascii="Calibri" w:eastAsia="Times New Roman" w:hAnsi="Calibri" w:cs="Calibri"/>
                <w:color w:val="000000"/>
                <w:lang w:eastAsia="en-GB"/>
              </w:rPr>
            </w:pPr>
            <w:r w:rsidRPr="00325684">
              <w:rPr>
                <w:rFonts w:ascii="Calibri" w:eastAsia="Times New Roman" w:hAnsi="Calibri" w:cs="Calibri"/>
                <w:color w:val="000000"/>
                <w:lang w:eastAsia="en-GB"/>
              </w:rPr>
              <w:t>3.11</w:t>
            </w:r>
          </w:p>
        </w:tc>
        <w:tc>
          <w:tcPr>
            <w:tcW w:w="300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Jobs Created 100               Housing starts:    25           Housing Comp: 25               Pedestrian Users p.a.: 151800 Cyclists p.a.: 50,600               Mobility Sc</w:t>
            </w:r>
            <w:r>
              <w:rPr>
                <w:rFonts w:ascii="Calibri" w:eastAsia="Times New Roman" w:hAnsi="Calibri" w:cs="Calibri"/>
                <w:color w:val="000000"/>
                <w:lang w:eastAsia="en-GB"/>
              </w:rPr>
              <w:t>o</w:t>
            </w:r>
            <w:r w:rsidRPr="00325684">
              <w:rPr>
                <w:rFonts w:ascii="Calibri" w:eastAsia="Times New Roman" w:hAnsi="Calibri" w:cs="Calibri"/>
                <w:color w:val="000000"/>
                <w:lang w:eastAsia="en-GB"/>
              </w:rPr>
              <w:t>oters: 1,518                       Public Sector Leverage: 300k      Private Sector Leverage:           Inc. in GVA: £335k</w:t>
            </w:r>
          </w:p>
        </w:tc>
        <w:tc>
          <w:tcPr>
            <w:tcW w:w="155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900,000 </w:t>
            </w:r>
          </w:p>
        </w:tc>
        <w:tc>
          <w:tcPr>
            <w:tcW w:w="148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600,000 </w:t>
            </w:r>
          </w:p>
        </w:tc>
      </w:tr>
      <w:tr w:rsidR="00D7098F" w:rsidRPr="00325684" w:rsidTr="00D7098F">
        <w:trPr>
          <w:trHeight w:val="27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lastRenderedPageBreak/>
              <w:t>TPT Upgrade</w:t>
            </w:r>
          </w:p>
        </w:tc>
        <w:tc>
          <w:tcPr>
            <w:tcW w:w="478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To widen and upg</w:t>
            </w:r>
            <w:r>
              <w:rPr>
                <w:rFonts w:ascii="Calibri" w:eastAsia="Times New Roman" w:hAnsi="Calibri" w:cs="Calibri"/>
                <w:color w:val="000000"/>
                <w:lang w:eastAsia="en-GB"/>
              </w:rPr>
              <w:t>r</w:t>
            </w:r>
            <w:r w:rsidRPr="00325684">
              <w:rPr>
                <w:rFonts w:ascii="Calibri" w:eastAsia="Times New Roman" w:hAnsi="Calibri" w:cs="Calibri"/>
                <w:color w:val="000000"/>
                <w:lang w:eastAsia="en-GB"/>
              </w:rPr>
              <w:t>ade the Trans Pennine trail which is a tourist attraction as well as a link a link between residential and employment sites.</w:t>
            </w:r>
          </w:p>
        </w:tc>
        <w:tc>
          <w:tcPr>
            <w:tcW w:w="718"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jc w:val="center"/>
              <w:rPr>
                <w:rFonts w:ascii="Calibri" w:eastAsia="Times New Roman" w:hAnsi="Calibri" w:cs="Calibri"/>
                <w:color w:val="000000"/>
                <w:lang w:eastAsia="en-GB"/>
              </w:rPr>
            </w:pPr>
            <w:r w:rsidRPr="00325684">
              <w:rPr>
                <w:rFonts w:ascii="Calibri" w:eastAsia="Times New Roman" w:hAnsi="Calibri" w:cs="Calibri"/>
                <w:color w:val="000000"/>
                <w:lang w:eastAsia="en-GB"/>
              </w:rPr>
              <w:t>5.36</w:t>
            </w:r>
          </w:p>
        </w:tc>
        <w:tc>
          <w:tcPr>
            <w:tcW w:w="300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Jobs Created 50                  Housing starts:    20           Housing Comp: 20          Pedestrian Users p.a.: 174570 Cyclists p.a.: 58,190               Mobility Sco</w:t>
            </w:r>
            <w:r>
              <w:rPr>
                <w:rFonts w:ascii="Calibri" w:eastAsia="Times New Roman" w:hAnsi="Calibri" w:cs="Calibri"/>
                <w:color w:val="000000"/>
                <w:lang w:eastAsia="en-GB"/>
              </w:rPr>
              <w:t>o</w:t>
            </w:r>
            <w:r w:rsidRPr="00325684">
              <w:rPr>
                <w:rFonts w:ascii="Calibri" w:eastAsia="Times New Roman" w:hAnsi="Calibri" w:cs="Calibri"/>
                <w:color w:val="000000"/>
                <w:lang w:eastAsia="en-GB"/>
              </w:rPr>
              <w:t>ters: 1,746                       Public Sector Leverage: 300k      Private Sector Leverage:           Inc. in GVA: £203k</w:t>
            </w:r>
          </w:p>
        </w:tc>
        <w:tc>
          <w:tcPr>
            <w:tcW w:w="155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900,000 </w:t>
            </w:r>
          </w:p>
        </w:tc>
        <w:tc>
          <w:tcPr>
            <w:tcW w:w="148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600,000 </w:t>
            </w:r>
          </w:p>
        </w:tc>
      </w:tr>
      <w:tr w:rsidR="00D7098F" w:rsidRPr="00325684" w:rsidTr="00D7098F">
        <w:trPr>
          <w:trHeight w:val="154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Wilmslow Strategic Cycle and Walking route</w:t>
            </w:r>
          </w:p>
        </w:tc>
        <w:tc>
          <w:tcPr>
            <w:tcW w:w="478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Upgrading of pedestrian and cycle links between Royal London site and </w:t>
            </w:r>
            <w:r w:rsidR="00621B2C" w:rsidRPr="00325684">
              <w:rPr>
                <w:rFonts w:ascii="Calibri" w:eastAsia="Times New Roman" w:hAnsi="Calibri" w:cs="Calibri"/>
                <w:color w:val="000000"/>
                <w:lang w:eastAsia="en-GB"/>
              </w:rPr>
              <w:t>Wilmslow</w:t>
            </w:r>
            <w:r w:rsidRPr="00325684">
              <w:rPr>
                <w:rFonts w:ascii="Calibri" w:eastAsia="Times New Roman" w:hAnsi="Calibri" w:cs="Calibri"/>
                <w:color w:val="000000"/>
                <w:lang w:eastAsia="en-GB"/>
              </w:rPr>
              <w:t xml:space="preserve">.  Fill gaps in the off-road route between </w:t>
            </w:r>
            <w:r w:rsidR="00621B2C">
              <w:rPr>
                <w:rFonts w:ascii="Calibri" w:eastAsia="Times New Roman" w:hAnsi="Calibri" w:cs="Calibri"/>
                <w:color w:val="000000"/>
                <w:lang w:eastAsia="en-GB"/>
              </w:rPr>
              <w:t>W</w:t>
            </w:r>
            <w:r w:rsidR="00621B2C" w:rsidRPr="00325684">
              <w:rPr>
                <w:rFonts w:ascii="Calibri" w:eastAsia="Times New Roman" w:hAnsi="Calibri" w:cs="Calibri"/>
                <w:color w:val="000000"/>
                <w:lang w:eastAsia="en-GB"/>
              </w:rPr>
              <w:t>ilmslow</w:t>
            </w:r>
            <w:r w:rsidRPr="00325684">
              <w:rPr>
                <w:rFonts w:ascii="Calibri" w:eastAsia="Times New Roman" w:hAnsi="Calibri" w:cs="Calibri"/>
                <w:color w:val="000000"/>
                <w:lang w:eastAsia="en-GB"/>
              </w:rPr>
              <w:t xml:space="preserve"> and key empl</w:t>
            </w:r>
            <w:r>
              <w:rPr>
                <w:rFonts w:ascii="Calibri" w:eastAsia="Times New Roman" w:hAnsi="Calibri" w:cs="Calibri"/>
                <w:color w:val="000000"/>
                <w:lang w:eastAsia="en-GB"/>
              </w:rPr>
              <w:t>o</w:t>
            </w:r>
            <w:r w:rsidRPr="00325684">
              <w:rPr>
                <w:rFonts w:ascii="Calibri" w:eastAsia="Times New Roman" w:hAnsi="Calibri" w:cs="Calibri"/>
                <w:color w:val="000000"/>
                <w:lang w:eastAsia="en-GB"/>
              </w:rPr>
              <w:t xml:space="preserve">yment sites </w:t>
            </w:r>
            <w:proofErr w:type="spellStart"/>
            <w:r w:rsidRPr="00325684">
              <w:rPr>
                <w:rFonts w:ascii="Calibri" w:eastAsia="Times New Roman" w:hAnsi="Calibri" w:cs="Calibri"/>
                <w:color w:val="000000"/>
                <w:lang w:eastAsia="en-GB"/>
              </w:rPr>
              <w:t>inc.</w:t>
            </w:r>
            <w:proofErr w:type="spellEnd"/>
            <w:r w:rsidRPr="00325684">
              <w:rPr>
                <w:rFonts w:ascii="Calibri" w:eastAsia="Times New Roman" w:hAnsi="Calibri" w:cs="Calibri"/>
                <w:color w:val="000000"/>
                <w:lang w:eastAsia="en-GB"/>
              </w:rPr>
              <w:t xml:space="preserve"> Alderley Park, Waters and Manchester Airport Enterprise Zone.  Total route length to be upgraded is 2.7km</w:t>
            </w:r>
          </w:p>
        </w:tc>
        <w:tc>
          <w:tcPr>
            <w:tcW w:w="718"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jc w:val="center"/>
              <w:rPr>
                <w:rFonts w:ascii="Calibri" w:eastAsia="Times New Roman" w:hAnsi="Calibri" w:cs="Calibri"/>
                <w:color w:val="000000"/>
                <w:lang w:eastAsia="en-GB"/>
              </w:rPr>
            </w:pPr>
            <w:r w:rsidRPr="00325684">
              <w:rPr>
                <w:rFonts w:ascii="Calibri" w:eastAsia="Times New Roman" w:hAnsi="Calibri" w:cs="Calibri"/>
                <w:color w:val="000000"/>
                <w:lang w:eastAsia="en-GB"/>
              </w:rPr>
              <w:t>4.5</w:t>
            </w:r>
          </w:p>
        </w:tc>
        <w:tc>
          <w:tcPr>
            <w:tcW w:w="300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Jobs Created 1500                Housing starts:                   Pedestrian Users p.a.: 75900 Cyclists p.a.:   63250                         Public Sector Leverage: £400k Private Sector Leverage: £50k          Inc. in GVA: £17m</w:t>
            </w:r>
          </w:p>
        </w:tc>
        <w:tc>
          <w:tcPr>
            <w:tcW w:w="155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1,300,000 </w:t>
            </w:r>
          </w:p>
        </w:tc>
        <w:tc>
          <w:tcPr>
            <w:tcW w:w="148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850,000 </w:t>
            </w:r>
          </w:p>
        </w:tc>
      </w:tr>
      <w:tr w:rsidR="00D7098F" w:rsidRPr="00325684" w:rsidTr="00D7098F">
        <w:trPr>
          <w:trHeight w:val="2068"/>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Northwest Crewe Cycling and Walking Link</w:t>
            </w:r>
          </w:p>
        </w:tc>
        <w:tc>
          <w:tcPr>
            <w:tcW w:w="478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Extending a cycling and walking path linking </w:t>
            </w:r>
            <w:r>
              <w:rPr>
                <w:rFonts w:ascii="Calibri" w:eastAsia="Times New Roman" w:hAnsi="Calibri" w:cs="Calibri"/>
                <w:color w:val="000000"/>
                <w:lang w:eastAsia="en-GB"/>
              </w:rPr>
              <w:t>C</w:t>
            </w:r>
            <w:r w:rsidRPr="00325684">
              <w:rPr>
                <w:rFonts w:ascii="Calibri" w:eastAsia="Times New Roman" w:hAnsi="Calibri" w:cs="Calibri"/>
                <w:color w:val="000000"/>
                <w:lang w:eastAsia="en-GB"/>
              </w:rPr>
              <w:t>rewe and Nantwich, t</w:t>
            </w:r>
            <w:r>
              <w:rPr>
                <w:rFonts w:ascii="Calibri" w:eastAsia="Times New Roman" w:hAnsi="Calibri" w:cs="Calibri"/>
                <w:color w:val="000000"/>
                <w:lang w:eastAsia="en-GB"/>
              </w:rPr>
              <w:t>h</w:t>
            </w:r>
            <w:r w:rsidRPr="00325684">
              <w:rPr>
                <w:rFonts w:ascii="Calibri" w:eastAsia="Times New Roman" w:hAnsi="Calibri" w:cs="Calibri"/>
                <w:color w:val="000000"/>
                <w:lang w:eastAsia="en-GB"/>
              </w:rPr>
              <w:t xml:space="preserve">e Bentley employment site, Leighton Hospital and residential areas.    NR widening bridge at </w:t>
            </w:r>
            <w:proofErr w:type="spellStart"/>
            <w:r w:rsidRPr="00325684">
              <w:rPr>
                <w:rFonts w:ascii="Calibri" w:eastAsia="Times New Roman" w:hAnsi="Calibri" w:cs="Calibri"/>
                <w:color w:val="000000"/>
                <w:lang w:eastAsia="en-GB"/>
              </w:rPr>
              <w:t>Boulderstone</w:t>
            </w:r>
            <w:proofErr w:type="spellEnd"/>
            <w:r w:rsidRPr="00325684">
              <w:rPr>
                <w:rFonts w:ascii="Calibri" w:eastAsia="Times New Roman" w:hAnsi="Calibri" w:cs="Calibri"/>
                <w:color w:val="000000"/>
                <w:lang w:eastAsia="en-GB"/>
              </w:rPr>
              <w:t xml:space="preserve"> </w:t>
            </w:r>
            <w:proofErr w:type="gramStart"/>
            <w:r w:rsidRPr="00325684">
              <w:rPr>
                <w:rFonts w:ascii="Calibri" w:eastAsia="Times New Roman" w:hAnsi="Calibri" w:cs="Calibri"/>
                <w:color w:val="000000"/>
                <w:lang w:eastAsia="en-GB"/>
              </w:rPr>
              <w:t>Bridge,  this</w:t>
            </w:r>
            <w:proofErr w:type="gramEnd"/>
            <w:r w:rsidRPr="00325684">
              <w:rPr>
                <w:rFonts w:ascii="Calibri" w:eastAsia="Times New Roman" w:hAnsi="Calibri" w:cs="Calibri"/>
                <w:color w:val="000000"/>
                <w:lang w:eastAsia="en-GB"/>
              </w:rPr>
              <w:t xml:space="preserve"> project will link into the widened bridge.</w:t>
            </w:r>
          </w:p>
        </w:tc>
        <w:tc>
          <w:tcPr>
            <w:tcW w:w="718"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jc w:val="center"/>
              <w:rPr>
                <w:rFonts w:ascii="Calibri" w:eastAsia="Times New Roman" w:hAnsi="Calibri" w:cs="Calibri"/>
                <w:color w:val="000000"/>
                <w:lang w:eastAsia="en-GB"/>
              </w:rPr>
            </w:pPr>
            <w:r w:rsidRPr="00325684">
              <w:rPr>
                <w:rFonts w:ascii="Calibri" w:eastAsia="Times New Roman" w:hAnsi="Calibri" w:cs="Calibri"/>
                <w:color w:val="000000"/>
                <w:lang w:eastAsia="en-GB"/>
              </w:rPr>
              <w:t>2.4</w:t>
            </w:r>
          </w:p>
        </w:tc>
        <w:tc>
          <w:tcPr>
            <w:tcW w:w="300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Jobs Created 1350                Housing starts:      200                     Housing Completed: 100             Pedestrian Users p.a.: 190143 Cyclists p.a.: 63250                           Public Sector Leverage: £800K       Private Sector </w:t>
            </w:r>
            <w:proofErr w:type="gramStart"/>
            <w:r w:rsidRPr="00325684">
              <w:rPr>
                <w:rFonts w:ascii="Calibri" w:eastAsia="Times New Roman" w:hAnsi="Calibri" w:cs="Calibri"/>
                <w:color w:val="000000"/>
                <w:lang w:eastAsia="en-GB"/>
              </w:rPr>
              <w:t>Leverage:£</w:t>
            </w:r>
            <w:proofErr w:type="gramEnd"/>
            <w:r w:rsidRPr="00325684">
              <w:rPr>
                <w:rFonts w:ascii="Calibri" w:eastAsia="Times New Roman" w:hAnsi="Calibri" w:cs="Calibri"/>
                <w:color w:val="000000"/>
                <w:lang w:eastAsia="en-GB"/>
              </w:rPr>
              <w:t>145K           Inc. in GVA: £115m</w:t>
            </w:r>
          </w:p>
        </w:tc>
        <w:tc>
          <w:tcPr>
            <w:tcW w:w="155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2,145,000 </w:t>
            </w:r>
          </w:p>
        </w:tc>
        <w:tc>
          <w:tcPr>
            <w:tcW w:w="148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1,200,000 </w:t>
            </w:r>
          </w:p>
        </w:tc>
      </w:tr>
      <w:tr w:rsidR="00D7098F" w:rsidRPr="00325684" w:rsidTr="00D7098F">
        <w:trPr>
          <w:trHeight w:val="169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A5117 Cycle Route, Ellesmere Port</w:t>
            </w:r>
          </w:p>
        </w:tc>
        <w:tc>
          <w:tcPr>
            <w:tcW w:w="478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4.5km cycleway linking Ellesmere Port and Chester.  </w:t>
            </w:r>
          </w:p>
        </w:tc>
        <w:tc>
          <w:tcPr>
            <w:tcW w:w="718"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jc w:val="center"/>
              <w:rPr>
                <w:rFonts w:ascii="Calibri" w:eastAsia="Times New Roman" w:hAnsi="Calibri" w:cs="Calibri"/>
                <w:color w:val="000000"/>
                <w:lang w:eastAsia="en-GB"/>
              </w:rPr>
            </w:pPr>
            <w:r w:rsidRPr="00325684">
              <w:rPr>
                <w:rFonts w:ascii="Calibri" w:eastAsia="Times New Roman" w:hAnsi="Calibri" w:cs="Calibri"/>
                <w:color w:val="000000"/>
                <w:lang w:eastAsia="en-GB"/>
              </w:rPr>
              <w:t>7.69</w:t>
            </w:r>
          </w:p>
        </w:tc>
        <w:tc>
          <w:tcPr>
            <w:tcW w:w="300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Jobs Created 5000               Housing starts:      0             Pedestrian Users p.a.: 0     Cyclists p.a.:                            Public Sector Leverage:       Private Sector Leverage:           Inc. in GVA: </w:t>
            </w:r>
          </w:p>
        </w:tc>
        <w:tc>
          <w:tcPr>
            <w:tcW w:w="155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602,000 </w:t>
            </w:r>
          </w:p>
        </w:tc>
        <w:tc>
          <w:tcPr>
            <w:tcW w:w="148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380,000 </w:t>
            </w:r>
          </w:p>
        </w:tc>
      </w:tr>
      <w:tr w:rsidR="00D7098F" w:rsidRPr="00325684" w:rsidTr="00D7098F">
        <w:trPr>
          <w:trHeight w:val="21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lastRenderedPageBreak/>
              <w:t>Station View and Canal Towpath</w:t>
            </w:r>
          </w:p>
        </w:tc>
        <w:tc>
          <w:tcPr>
            <w:tcW w:w="478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Enhancement of 2.2km of canal towpath between A41, Ellesmere Port and Chester to shared use.  Includes new footbridge over railway line.  </w:t>
            </w:r>
          </w:p>
        </w:tc>
        <w:tc>
          <w:tcPr>
            <w:tcW w:w="718"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jc w:val="center"/>
              <w:rPr>
                <w:rFonts w:ascii="Calibri" w:eastAsia="Times New Roman" w:hAnsi="Calibri" w:cs="Calibri"/>
                <w:color w:val="000000"/>
                <w:lang w:eastAsia="en-GB"/>
              </w:rPr>
            </w:pPr>
            <w:r w:rsidRPr="00325684">
              <w:rPr>
                <w:rFonts w:ascii="Calibri" w:eastAsia="Times New Roman" w:hAnsi="Calibri" w:cs="Calibri"/>
                <w:color w:val="000000"/>
                <w:lang w:eastAsia="en-GB"/>
              </w:rPr>
              <w:t>3.905</w:t>
            </w:r>
          </w:p>
        </w:tc>
        <w:tc>
          <w:tcPr>
            <w:tcW w:w="300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Jobs Created 5750               Housing starts:   2689               Pedestrian Users p.a.: 73000 Cyclists p.a.:73000                            Public Sector Leverage:       Private Sector Leverage:           Inc. in GVA: £202m</w:t>
            </w:r>
          </w:p>
        </w:tc>
        <w:tc>
          <w:tcPr>
            <w:tcW w:w="155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4,379,000 </w:t>
            </w:r>
          </w:p>
        </w:tc>
        <w:tc>
          <w:tcPr>
            <w:tcW w:w="148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2,739,000 </w:t>
            </w:r>
          </w:p>
        </w:tc>
      </w:tr>
      <w:tr w:rsidR="00D7098F" w:rsidRPr="00325684" w:rsidTr="00D7098F">
        <w:trPr>
          <w:trHeight w:val="1862"/>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Sutton Way Boulevard, Ellesmere Port</w:t>
            </w:r>
          </w:p>
        </w:tc>
        <w:tc>
          <w:tcPr>
            <w:tcW w:w="478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proofErr w:type="gramStart"/>
            <w:r w:rsidRPr="00325684">
              <w:rPr>
                <w:rFonts w:ascii="Calibri" w:eastAsia="Times New Roman" w:hAnsi="Calibri" w:cs="Calibri"/>
                <w:color w:val="000000"/>
                <w:lang w:eastAsia="en-GB"/>
              </w:rPr>
              <w:t>1 mile</w:t>
            </w:r>
            <w:proofErr w:type="gramEnd"/>
            <w:r w:rsidRPr="00325684">
              <w:rPr>
                <w:rFonts w:ascii="Calibri" w:eastAsia="Times New Roman" w:hAnsi="Calibri" w:cs="Calibri"/>
                <w:color w:val="000000"/>
                <w:lang w:eastAsia="en-GB"/>
              </w:rPr>
              <w:t xml:space="preserve"> new shared pathway which will link the town centre with the Western Fringe and residential areas and provide a link to Chester by joining up with St</w:t>
            </w:r>
            <w:r>
              <w:rPr>
                <w:rFonts w:ascii="Calibri" w:eastAsia="Times New Roman" w:hAnsi="Calibri" w:cs="Calibri"/>
                <w:color w:val="000000"/>
                <w:lang w:eastAsia="en-GB"/>
              </w:rPr>
              <w:t>o</w:t>
            </w:r>
            <w:r w:rsidRPr="00325684">
              <w:rPr>
                <w:rFonts w:ascii="Calibri" w:eastAsia="Times New Roman" w:hAnsi="Calibri" w:cs="Calibri"/>
                <w:color w:val="000000"/>
                <w:lang w:eastAsia="en-GB"/>
              </w:rPr>
              <w:t>ney Lane.</w:t>
            </w:r>
          </w:p>
        </w:tc>
        <w:tc>
          <w:tcPr>
            <w:tcW w:w="718"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jc w:val="center"/>
              <w:rPr>
                <w:rFonts w:ascii="Calibri" w:eastAsia="Times New Roman" w:hAnsi="Calibri" w:cs="Calibri"/>
                <w:color w:val="000000"/>
                <w:lang w:eastAsia="en-GB"/>
              </w:rPr>
            </w:pPr>
            <w:r w:rsidRPr="00325684">
              <w:rPr>
                <w:rFonts w:ascii="Calibri" w:eastAsia="Times New Roman" w:hAnsi="Calibri" w:cs="Calibri"/>
                <w:color w:val="000000"/>
                <w:lang w:eastAsia="en-GB"/>
              </w:rPr>
              <w:t>5.99</w:t>
            </w:r>
          </w:p>
        </w:tc>
        <w:tc>
          <w:tcPr>
            <w:tcW w:w="300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Jobs Created: 0                   Housing starts:                   Pedestrian Users p.a.: 36500 Cyclists p.a.: 36500                           Public Sector Leverage: £640k       Private Sector Leverage: £380k          Inc. in GVA: £3.5m</w:t>
            </w:r>
          </w:p>
        </w:tc>
        <w:tc>
          <w:tcPr>
            <w:tcW w:w="155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1,024,000 </w:t>
            </w:r>
          </w:p>
        </w:tc>
        <w:tc>
          <w:tcPr>
            <w:tcW w:w="1480" w:type="dxa"/>
            <w:tcBorders>
              <w:top w:val="nil"/>
              <w:left w:val="nil"/>
              <w:bottom w:val="nil"/>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640,000 </w:t>
            </w:r>
          </w:p>
        </w:tc>
      </w:tr>
      <w:tr w:rsidR="00D7098F" w:rsidRPr="00325684" w:rsidTr="00D7098F">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w:t>
            </w:r>
          </w:p>
        </w:tc>
        <w:tc>
          <w:tcPr>
            <w:tcW w:w="478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w:t>
            </w:r>
          </w:p>
        </w:tc>
        <w:tc>
          <w:tcPr>
            <w:tcW w:w="718"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jc w:val="center"/>
              <w:rPr>
                <w:rFonts w:ascii="Calibri" w:eastAsia="Times New Roman" w:hAnsi="Calibri" w:cs="Calibri"/>
                <w:color w:val="000000"/>
                <w:lang w:eastAsia="en-GB"/>
              </w:rPr>
            </w:pPr>
            <w:r w:rsidRPr="00325684">
              <w:rPr>
                <w:rFonts w:ascii="Calibri" w:eastAsia="Times New Roman" w:hAnsi="Calibri" w:cs="Calibri"/>
                <w:color w:val="000000"/>
                <w:lang w:eastAsia="en-GB"/>
              </w:rPr>
              <w:t> </w:t>
            </w:r>
          </w:p>
        </w:tc>
        <w:tc>
          <w:tcPr>
            <w:tcW w:w="3000" w:type="dxa"/>
            <w:tcBorders>
              <w:top w:val="nil"/>
              <w:left w:val="nil"/>
              <w:bottom w:val="single" w:sz="4" w:space="0" w:color="auto"/>
              <w:right w:val="single" w:sz="4" w:space="0" w:color="auto"/>
            </w:tcBorders>
            <w:shd w:val="clear" w:color="auto" w:fill="auto"/>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w:t>
            </w:r>
          </w:p>
        </w:tc>
        <w:tc>
          <w:tcPr>
            <w:tcW w:w="1550" w:type="dxa"/>
            <w:tcBorders>
              <w:top w:val="nil"/>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12,250,000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7098F" w:rsidRPr="00325684" w:rsidRDefault="00D7098F" w:rsidP="00325684">
            <w:pPr>
              <w:spacing w:after="0" w:line="240" w:lineRule="auto"/>
              <w:rPr>
                <w:rFonts w:ascii="Calibri" w:eastAsia="Times New Roman" w:hAnsi="Calibri" w:cs="Calibri"/>
                <w:color w:val="000000"/>
                <w:lang w:eastAsia="en-GB"/>
              </w:rPr>
            </w:pPr>
            <w:r w:rsidRPr="00325684">
              <w:rPr>
                <w:rFonts w:ascii="Calibri" w:eastAsia="Times New Roman" w:hAnsi="Calibri" w:cs="Calibri"/>
                <w:color w:val="000000"/>
                <w:lang w:eastAsia="en-GB"/>
              </w:rPr>
              <w:t xml:space="preserve">           7,509,000 </w:t>
            </w:r>
          </w:p>
        </w:tc>
      </w:tr>
    </w:tbl>
    <w:p w:rsidR="003F7CE2" w:rsidRPr="00233FFD" w:rsidRDefault="003F7CE2" w:rsidP="00153C0D">
      <w:pPr>
        <w:jc w:val="both"/>
        <w:rPr>
          <w:rFonts w:cstheme="minorHAnsi"/>
          <w:sz w:val="24"/>
          <w:szCs w:val="24"/>
        </w:rPr>
      </w:pPr>
    </w:p>
    <w:p w:rsidR="005F3960" w:rsidRPr="00233FFD" w:rsidRDefault="005F3960" w:rsidP="00153C0D">
      <w:pPr>
        <w:jc w:val="both"/>
        <w:rPr>
          <w:rFonts w:cstheme="minorHAnsi"/>
          <w:sz w:val="24"/>
          <w:szCs w:val="24"/>
        </w:rPr>
      </w:pPr>
    </w:p>
    <w:p w:rsidR="005F3960" w:rsidRPr="00233FFD" w:rsidRDefault="005F3960" w:rsidP="00153C0D">
      <w:pPr>
        <w:jc w:val="both"/>
        <w:rPr>
          <w:rFonts w:cstheme="minorHAnsi"/>
          <w:sz w:val="24"/>
          <w:szCs w:val="24"/>
        </w:rPr>
      </w:pPr>
    </w:p>
    <w:p w:rsidR="005F3960" w:rsidRPr="00233FFD" w:rsidRDefault="005F3960" w:rsidP="00153C0D">
      <w:pPr>
        <w:jc w:val="both"/>
        <w:rPr>
          <w:rFonts w:cstheme="minorHAnsi"/>
          <w:sz w:val="24"/>
          <w:szCs w:val="24"/>
        </w:rPr>
      </w:pPr>
    </w:p>
    <w:p w:rsidR="005F3960" w:rsidRPr="00233FFD" w:rsidRDefault="005F3960" w:rsidP="00153C0D">
      <w:pPr>
        <w:jc w:val="both"/>
        <w:rPr>
          <w:rFonts w:cstheme="minorHAnsi"/>
          <w:sz w:val="24"/>
          <w:szCs w:val="24"/>
        </w:rPr>
      </w:pPr>
    </w:p>
    <w:p w:rsidR="00F21FDF" w:rsidRPr="00233FFD" w:rsidRDefault="00F21FDF" w:rsidP="00153C0D">
      <w:pPr>
        <w:jc w:val="both"/>
        <w:rPr>
          <w:rFonts w:cstheme="minorHAnsi"/>
          <w:sz w:val="24"/>
          <w:szCs w:val="24"/>
        </w:rPr>
      </w:pPr>
    </w:p>
    <w:tbl>
      <w:tblPr>
        <w:tblW w:w="16860" w:type="dxa"/>
        <w:tblInd w:w="108" w:type="dxa"/>
        <w:tblLayout w:type="fixed"/>
        <w:tblLook w:val="04A0" w:firstRow="1" w:lastRow="0" w:firstColumn="1" w:lastColumn="0" w:noHBand="0" w:noVBand="1"/>
      </w:tblPr>
      <w:tblGrid>
        <w:gridCol w:w="7155"/>
        <w:gridCol w:w="5724"/>
        <w:gridCol w:w="1254"/>
        <w:gridCol w:w="1693"/>
        <w:gridCol w:w="1034"/>
      </w:tblGrid>
      <w:tr w:rsidR="00621B2C" w:rsidRPr="00233FFD" w:rsidTr="00621B2C">
        <w:trPr>
          <w:trHeight w:val="276"/>
        </w:trPr>
        <w:tc>
          <w:tcPr>
            <w:tcW w:w="7155" w:type="dxa"/>
            <w:tcBorders>
              <w:top w:val="nil"/>
              <w:left w:val="nil"/>
              <w:bottom w:val="nil"/>
              <w:right w:val="nil"/>
            </w:tcBorders>
            <w:shd w:val="clear" w:color="auto" w:fill="auto"/>
            <w:noWrap/>
            <w:vAlign w:val="bottom"/>
          </w:tcPr>
          <w:p w:rsidR="00621B2C" w:rsidRPr="00233FFD" w:rsidRDefault="00621B2C" w:rsidP="005F3960">
            <w:pPr>
              <w:spacing w:after="0" w:line="240" w:lineRule="auto"/>
              <w:rPr>
                <w:rFonts w:eastAsia="Times New Roman" w:cstheme="minorHAnsi"/>
                <w:sz w:val="24"/>
                <w:szCs w:val="24"/>
                <w:lang w:eastAsia="en-GB"/>
              </w:rPr>
            </w:pPr>
          </w:p>
        </w:tc>
        <w:tc>
          <w:tcPr>
            <w:tcW w:w="5724" w:type="dxa"/>
            <w:tcBorders>
              <w:top w:val="nil"/>
              <w:left w:val="nil"/>
              <w:bottom w:val="nil"/>
              <w:right w:val="nil"/>
            </w:tcBorders>
            <w:shd w:val="clear" w:color="auto" w:fill="auto"/>
            <w:noWrap/>
            <w:vAlign w:val="bottom"/>
          </w:tcPr>
          <w:p w:rsidR="00621B2C" w:rsidRPr="00233FFD" w:rsidRDefault="00621B2C" w:rsidP="00153C0D">
            <w:pPr>
              <w:spacing w:after="0" w:line="240" w:lineRule="auto"/>
              <w:jc w:val="both"/>
              <w:rPr>
                <w:rFonts w:eastAsia="Times New Roman" w:cstheme="minorHAnsi"/>
                <w:sz w:val="24"/>
                <w:szCs w:val="24"/>
                <w:lang w:eastAsia="en-GB"/>
              </w:rPr>
            </w:pPr>
          </w:p>
        </w:tc>
        <w:tc>
          <w:tcPr>
            <w:tcW w:w="1254" w:type="dxa"/>
            <w:tcBorders>
              <w:top w:val="nil"/>
              <w:left w:val="nil"/>
              <w:bottom w:val="nil"/>
              <w:right w:val="nil"/>
            </w:tcBorders>
            <w:shd w:val="clear" w:color="auto" w:fill="auto"/>
            <w:noWrap/>
            <w:vAlign w:val="bottom"/>
          </w:tcPr>
          <w:p w:rsidR="00621B2C" w:rsidRPr="00233FFD" w:rsidRDefault="00621B2C" w:rsidP="00153C0D">
            <w:pPr>
              <w:spacing w:after="0" w:line="240" w:lineRule="auto"/>
              <w:jc w:val="both"/>
              <w:rPr>
                <w:rFonts w:eastAsia="Times New Roman" w:cstheme="minorHAnsi"/>
                <w:sz w:val="24"/>
                <w:szCs w:val="24"/>
                <w:lang w:eastAsia="en-GB"/>
              </w:rPr>
            </w:pPr>
          </w:p>
        </w:tc>
        <w:tc>
          <w:tcPr>
            <w:tcW w:w="1693" w:type="dxa"/>
            <w:tcBorders>
              <w:top w:val="nil"/>
              <w:left w:val="nil"/>
              <w:bottom w:val="nil"/>
              <w:right w:val="nil"/>
            </w:tcBorders>
            <w:shd w:val="clear" w:color="auto" w:fill="auto"/>
            <w:noWrap/>
            <w:vAlign w:val="bottom"/>
          </w:tcPr>
          <w:p w:rsidR="00621B2C" w:rsidRPr="00233FFD" w:rsidRDefault="00621B2C" w:rsidP="00153C0D">
            <w:pPr>
              <w:spacing w:after="0" w:line="240" w:lineRule="auto"/>
              <w:jc w:val="both"/>
              <w:rPr>
                <w:rFonts w:eastAsia="Times New Roman" w:cstheme="minorHAnsi"/>
                <w:sz w:val="24"/>
                <w:szCs w:val="24"/>
                <w:lang w:eastAsia="en-GB"/>
              </w:rPr>
            </w:pPr>
          </w:p>
        </w:tc>
        <w:tc>
          <w:tcPr>
            <w:tcW w:w="1034" w:type="dxa"/>
            <w:tcBorders>
              <w:top w:val="nil"/>
              <w:left w:val="nil"/>
              <w:bottom w:val="nil"/>
              <w:right w:val="nil"/>
            </w:tcBorders>
            <w:shd w:val="clear" w:color="auto" w:fill="auto"/>
            <w:noWrap/>
            <w:vAlign w:val="bottom"/>
          </w:tcPr>
          <w:p w:rsidR="00621B2C" w:rsidRPr="00233FFD" w:rsidRDefault="00621B2C" w:rsidP="00153C0D">
            <w:pPr>
              <w:spacing w:after="0" w:line="240" w:lineRule="auto"/>
              <w:jc w:val="both"/>
              <w:rPr>
                <w:rFonts w:eastAsia="Times New Roman" w:cstheme="minorHAnsi"/>
                <w:sz w:val="24"/>
                <w:szCs w:val="24"/>
                <w:lang w:eastAsia="en-GB"/>
              </w:rPr>
            </w:pPr>
          </w:p>
        </w:tc>
      </w:tr>
    </w:tbl>
    <w:p w:rsidR="00621B2C" w:rsidRDefault="00621B2C" w:rsidP="00153C0D">
      <w:pPr>
        <w:jc w:val="both"/>
        <w:rPr>
          <w:rFonts w:cstheme="minorHAnsi"/>
          <w:sz w:val="24"/>
          <w:szCs w:val="24"/>
        </w:rPr>
      </w:pPr>
    </w:p>
    <w:p w:rsidR="00621B2C" w:rsidRPr="00233FFD" w:rsidRDefault="00621B2C" w:rsidP="00153C0D">
      <w:pPr>
        <w:jc w:val="both"/>
        <w:rPr>
          <w:rFonts w:cstheme="minorHAnsi"/>
          <w:sz w:val="24"/>
          <w:szCs w:val="24"/>
        </w:rPr>
      </w:pPr>
    </w:p>
    <w:sectPr w:rsidR="00621B2C" w:rsidRPr="00233FFD" w:rsidSect="001503BA">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AED" w:rsidRDefault="00EC3AED" w:rsidP="00F12DC8">
      <w:pPr>
        <w:spacing w:after="0" w:line="240" w:lineRule="auto"/>
      </w:pPr>
      <w:r>
        <w:separator/>
      </w:r>
    </w:p>
  </w:endnote>
  <w:endnote w:type="continuationSeparator" w:id="0">
    <w:p w:rsidR="00EC3AED" w:rsidRDefault="00EC3AED" w:rsidP="00F1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165463"/>
      <w:docPartObj>
        <w:docPartGallery w:val="Page Numbers (Bottom of Page)"/>
        <w:docPartUnique/>
      </w:docPartObj>
    </w:sdtPr>
    <w:sdtEndPr>
      <w:rPr>
        <w:noProof/>
      </w:rPr>
    </w:sdtEndPr>
    <w:sdtContent>
      <w:p w:rsidR="00EC3AED" w:rsidRDefault="00EC3AED">
        <w:pPr>
          <w:pStyle w:val="Footer"/>
          <w:jc w:val="center"/>
        </w:pPr>
        <w:r>
          <w:fldChar w:fldCharType="begin"/>
        </w:r>
        <w:r>
          <w:instrText xml:space="preserve"> PAGE   \* MERGEFORMAT </w:instrText>
        </w:r>
        <w:r>
          <w:fldChar w:fldCharType="separate"/>
        </w:r>
        <w:r w:rsidR="007F1662">
          <w:rPr>
            <w:noProof/>
          </w:rPr>
          <w:t>14</w:t>
        </w:r>
        <w:r>
          <w:rPr>
            <w:noProof/>
          </w:rPr>
          <w:fldChar w:fldCharType="end"/>
        </w:r>
      </w:p>
    </w:sdtContent>
  </w:sdt>
  <w:p w:rsidR="00EC3AED" w:rsidRDefault="00EC3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AED" w:rsidRDefault="00EC3AED" w:rsidP="00F12DC8">
      <w:pPr>
        <w:spacing w:after="0" w:line="240" w:lineRule="auto"/>
      </w:pPr>
      <w:r>
        <w:separator/>
      </w:r>
    </w:p>
  </w:footnote>
  <w:footnote w:type="continuationSeparator" w:id="0">
    <w:p w:rsidR="00EC3AED" w:rsidRDefault="00EC3AED" w:rsidP="00F12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6E4B"/>
    <w:multiLevelType w:val="hybridMultilevel"/>
    <w:tmpl w:val="0C66FE9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1835BF"/>
    <w:multiLevelType w:val="hybridMultilevel"/>
    <w:tmpl w:val="3866012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19697B20"/>
    <w:multiLevelType w:val="hybridMultilevel"/>
    <w:tmpl w:val="858E2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F93651"/>
    <w:multiLevelType w:val="hybridMultilevel"/>
    <w:tmpl w:val="03F880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25096E"/>
    <w:multiLevelType w:val="multilevel"/>
    <w:tmpl w:val="DEAA9F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3A2681"/>
    <w:multiLevelType w:val="hybridMultilevel"/>
    <w:tmpl w:val="BA4450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A65A00"/>
    <w:multiLevelType w:val="hybridMultilevel"/>
    <w:tmpl w:val="07383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C47EB7"/>
    <w:multiLevelType w:val="multilevel"/>
    <w:tmpl w:val="E328F53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3154B5"/>
    <w:multiLevelType w:val="hybridMultilevel"/>
    <w:tmpl w:val="F2AA03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CF533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3570B9"/>
    <w:multiLevelType w:val="multilevel"/>
    <w:tmpl w:val="2E0E4C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19251A"/>
    <w:multiLevelType w:val="multilevel"/>
    <w:tmpl w:val="2E0E4C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D467DA"/>
    <w:multiLevelType w:val="hybridMultilevel"/>
    <w:tmpl w:val="DF4C053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58C66B69"/>
    <w:multiLevelType w:val="hybridMultilevel"/>
    <w:tmpl w:val="BA62C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B775BC"/>
    <w:multiLevelType w:val="hybridMultilevel"/>
    <w:tmpl w:val="DB2EF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D7050DC"/>
    <w:multiLevelType w:val="hybridMultilevel"/>
    <w:tmpl w:val="BF860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550978"/>
    <w:multiLevelType w:val="hybridMultilevel"/>
    <w:tmpl w:val="EF1A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CD0D02"/>
    <w:multiLevelType w:val="multilevel"/>
    <w:tmpl w:val="D2B04DE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2D7FA3"/>
    <w:multiLevelType w:val="multilevel"/>
    <w:tmpl w:val="E328F53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D66E2E"/>
    <w:multiLevelType w:val="hybridMultilevel"/>
    <w:tmpl w:val="23EEBDD6"/>
    <w:lvl w:ilvl="0" w:tplc="6B8EB62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1D30557"/>
    <w:multiLevelType w:val="multilevel"/>
    <w:tmpl w:val="54DA865C"/>
    <w:lvl w:ilvl="0">
      <w:start w:val="4"/>
      <w:numFmt w:val="decimal"/>
      <w:lvlText w:val="%1.0"/>
      <w:lvlJc w:val="left"/>
      <w:pPr>
        <w:ind w:left="540" w:hanging="398"/>
      </w:pPr>
      <w:rPr>
        <w:rFonts w:hint="default"/>
      </w:rPr>
    </w:lvl>
    <w:lvl w:ilvl="1">
      <w:start w:val="1"/>
      <w:numFmt w:val="decimal"/>
      <w:lvlText w:val="%1.%2"/>
      <w:lvlJc w:val="left"/>
      <w:pPr>
        <w:ind w:left="1249" w:hanging="398"/>
      </w:pPr>
      <w:rPr>
        <w:rFonts w:hint="default"/>
        <w:b w:val="0"/>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21" w15:restartNumberingAfterBreak="0">
    <w:nsid w:val="76503416"/>
    <w:multiLevelType w:val="hybridMultilevel"/>
    <w:tmpl w:val="DE64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CAE7F59"/>
    <w:multiLevelType w:val="hybridMultilevel"/>
    <w:tmpl w:val="9830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19"/>
  </w:num>
  <w:num w:numId="6">
    <w:abstractNumId w:val="4"/>
  </w:num>
  <w:num w:numId="7">
    <w:abstractNumId w:val="14"/>
  </w:num>
  <w:num w:numId="8">
    <w:abstractNumId w:val="2"/>
  </w:num>
  <w:num w:numId="9">
    <w:abstractNumId w:val="16"/>
  </w:num>
  <w:num w:numId="10">
    <w:abstractNumId w:val="21"/>
  </w:num>
  <w:num w:numId="11">
    <w:abstractNumId w:val="20"/>
  </w:num>
  <w:num w:numId="12">
    <w:abstractNumId w:val="9"/>
  </w:num>
  <w:num w:numId="13">
    <w:abstractNumId w:val="3"/>
  </w:num>
  <w:num w:numId="14">
    <w:abstractNumId w:val="8"/>
  </w:num>
  <w:num w:numId="15">
    <w:abstractNumId w:val="5"/>
  </w:num>
  <w:num w:numId="16">
    <w:abstractNumId w:val="7"/>
  </w:num>
  <w:num w:numId="17">
    <w:abstractNumId w:val="1"/>
  </w:num>
  <w:num w:numId="18">
    <w:abstractNumId w:val="12"/>
  </w:num>
  <w:num w:numId="19">
    <w:abstractNumId w:val="13"/>
  </w:num>
  <w:num w:numId="20">
    <w:abstractNumId w:val="18"/>
  </w:num>
  <w:num w:numId="21">
    <w:abstractNumId w:val="17"/>
  </w:num>
  <w:num w:numId="22">
    <w:abstractNumId w:val="15"/>
  </w:num>
  <w:num w:numId="23">
    <w:abstractNumId w:val="6"/>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D5"/>
    <w:rsid w:val="00037FD9"/>
    <w:rsid w:val="00050FE5"/>
    <w:rsid w:val="000638D0"/>
    <w:rsid w:val="00065AF3"/>
    <w:rsid w:val="00065B99"/>
    <w:rsid w:val="00067B9C"/>
    <w:rsid w:val="00075529"/>
    <w:rsid w:val="0009045F"/>
    <w:rsid w:val="000A3487"/>
    <w:rsid w:val="000A3C40"/>
    <w:rsid w:val="000A591A"/>
    <w:rsid w:val="000B1448"/>
    <w:rsid w:val="000B20A4"/>
    <w:rsid w:val="000B372C"/>
    <w:rsid w:val="000C213B"/>
    <w:rsid w:val="000D0C22"/>
    <w:rsid w:val="000D127D"/>
    <w:rsid w:val="000D6A16"/>
    <w:rsid w:val="000F007B"/>
    <w:rsid w:val="000F244A"/>
    <w:rsid w:val="00101875"/>
    <w:rsid w:val="0010432E"/>
    <w:rsid w:val="00106820"/>
    <w:rsid w:val="001073DE"/>
    <w:rsid w:val="00107454"/>
    <w:rsid w:val="00110964"/>
    <w:rsid w:val="001135DD"/>
    <w:rsid w:val="0011579C"/>
    <w:rsid w:val="0012478D"/>
    <w:rsid w:val="0013097D"/>
    <w:rsid w:val="00133DBF"/>
    <w:rsid w:val="00134A29"/>
    <w:rsid w:val="001503BA"/>
    <w:rsid w:val="00153C0D"/>
    <w:rsid w:val="00156053"/>
    <w:rsid w:val="00164871"/>
    <w:rsid w:val="00164C40"/>
    <w:rsid w:val="00166FDF"/>
    <w:rsid w:val="00171EEB"/>
    <w:rsid w:val="0017216F"/>
    <w:rsid w:val="00174781"/>
    <w:rsid w:val="00175C3D"/>
    <w:rsid w:val="0018337E"/>
    <w:rsid w:val="00197A07"/>
    <w:rsid w:val="001A5188"/>
    <w:rsid w:val="001C6876"/>
    <w:rsid w:val="001E314B"/>
    <w:rsid w:val="001F68EC"/>
    <w:rsid w:val="001F6C47"/>
    <w:rsid w:val="002014C7"/>
    <w:rsid w:val="00207415"/>
    <w:rsid w:val="0021156E"/>
    <w:rsid w:val="0022118F"/>
    <w:rsid w:val="00233FFD"/>
    <w:rsid w:val="00272590"/>
    <w:rsid w:val="002749E3"/>
    <w:rsid w:val="00275846"/>
    <w:rsid w:val="0028207A"/>
    <w:rsid w:val="002827D5"/>
    <w:rsid w:val="0028453C"/>
    <w:rsid w:val="002A0748"/>
    <w:rsid w:val="002A1CDB"/>
    <w:rsid w:val="002A3125"/>
    <w:rsid w:val="002A6295"/>
    <w:rsid w:val="002B2D87"/>
    <w:rsid w:val="002B33FD"/>
    <w:rsid w:val="002B6D08"/>
    <w:rsid w:val="002E6D12"/>
    <w:rsid w:val="002F2E4C"/>
    <w:rsid w:val="003016E2"/>
    <w:rsid w:val="00312569"/>
    <w:rsid w:val="00313712"/>
    <w:rsid w:val="00317F28"/>
    <w:rsid w:val="003207C2"/>
    <w:rsid w:val="00325684"/>
    <w:rsid w:val="00345591"/>
    <w:rsid w:val="003546BF"/>
    <w:rsid w:val="00365EBA"/>
    <w:rsid w:val="00372A6B"/>
    <w:rsid w:val="00384766"/>
    <w:rsid w:val="00387F94"/>
    <w:rsid w:val="00390E79"/>
    <w:rsid w:val="003A33E9"/>
    <w:rsid w:val="003C21D4"/>
    <w:rsid w:val="003C5FD7"/>
    <w:rsid w:val="003D70CA"/>
    <w:rsid w:val="003E2049"/>
    <w:rsid w:val="003F31B1"/>
    <w:rsid w:val="003F5A35"/>
    <w:rsid w:val="003F7CE2"/>
    <w:rsid w:val="003F7D1C"/>
    <w:rsid w:val="00401EA9"/>
    <w:rsid w:val="00405299"/>
    <w:rsid w:val="004120EC"/>
    <w:rsid w:val="00424667"/>
    <w:rsid w:val="004343FE"/>
    <w:rsid w:val="00435F3D"/>
    <w:rsid w:val="00436539"/>
    <w:rsid w:val="00440186"/>
    <w:rsid w:val="0044170F"/>
    <w:rsid w:val="00456051"/>
    <w:rsid w:val="00456DB9"/>
    <w:rsid w:val="00471C31"/>
    <w:rsid w:val="004730C1"/>
    <w:rsid w:val="00476AA3"/>
    <w:rsid w:val="00491D5F"/>
    <w:rsid w:val="004959DE"/>
    <w:rsid w:val="004B451B"/>
    <w:rsid w:val="004C0AF3"/>
    <w:rsid w:val="004C6848"/>
    <w:rsid w:val="004D552D"/>
    <w:rsid w:val="004D6446"/>
    <w:rsid w:val="004E1E36"/>
    <w:rsid w:val="004E200C"/>
    <w:rsid w:val="004E74C4"/>
    <w:rsid w:val="004F0E9A"/>
    <w:rsid w:val="004F5C5F"/>
    <w:rsid w:val="0050162D"/>
    <w:rsid w:val="005033D7"/>
    <w:rsid w:val="00516DCA"/>
    <w:rsid w:val="005231C5"/>
    <w:rsid w:val="00523DF4"/>
    <w:rsid w:val="005250B5"/>
    <w:rsid w:val="005268C0"/>
    <w:rsid w:val="00530F48"/>
    <w:rsid w:val="005317DC"/>
    <w:rsid w:val="00533B27"/>
    <w:rsid w:val="005378BC"/>
    <w:rsid w:val="005406F1"/>
    <w:rsid w:val="00540DDD"/>
    <w:rsid w:val="00542243"/>
    <w:rsid w:val="005430FC"/>
    <w:rsid w:val="005455AF"/>
    <w:rsid w:val="005535CE"/>
    <w:rsid w:val="005734E5"/>
    <w:rsid w:val="005C1654"/>
    <w:rsid w:val="005C70ED"/>
    <w:rsid w:val="005D16FA"/>
    <w:rsid w:val="005D183A"/>
    <w:rsid w:val="005F3960"/>
    <w:rsid w:val="00604E25"/>
    <w:rsid w:val="006071CF"/>
    <w:rsid w:val="00621B2C"/>
    <w:rsid w:val="006227E3"/>
    <w:rsid w:val="00624610"/>
    <w:rsid w:val="00637760"/>
    <w:rsid w:val="00642D59"/>
    <w:rsid w:val="0064301A"/>
    <w:rsid w:val="00645DD1"/>
    <w:rsid w:val="006473C1"/>
    <w:rsid w:val="006506EA"/>
    <w:rsid w:val="006863AD"/>
    <w:rsid w:val="00693497"/>
    <w:rsid w:val="006961C1"/>
    <w:rsid w:val="006A1083"/>
    <w:rsid w:val="006A5018"/>
    <w:rsid w:val="006B2A3B"/>
    <w:rsid w:val="006B40C1"/>
    <w:rsid w:val="006B7963"/>
    <w:rsid w:val="006C259A"/>
    <w:rsid w:val="006C2E9E"/>
    <w:rsid w:val="006E59EB"/>
    <w:rsid w:val="006F67E3"/>
    <w:rsid w:val="00711A5B"/>
    <w:rsid w:val="00720749"/>
    <w:rsid w:val="00725129"/>
    <w:rsid w:val="00726CB8"/>
    <w:rsid w:val="00736B78"/>
    <w:rsid w:val="00757487"/>
    <w:rsid w:val="00757972"/>
    <w:rsid w:val="00767293"/>
    <w:rsid w:val="00773A69"/>
    <w:rsid w:val="007801EE"/>
    <w:rsid w:val="00792689"/>
    <w:rsid w:val="007A37C9"/>
    <w:rsid w:val="007B7F30"/>
    <w:rsid w:val="007C08D9"/>
    <w:rsid w:val="007C1716"/>
    <w:rsid w:val="007C60CE"/>
    <w:rsid w:val="007C6F0A"/>
    <w:rsid w:val="007D3296"/>
    <w:rsid w:val="007E6F25"/>
    <w:rsid w:val="007E769F"/>
    <w:rsid w:val="007F1662"/>
    <w:rsid w:val="007F7978"/>
    <w:rsid w:val="00801FF5"/>
    <w:rsid w:val="00805420"/>
    <w:rsid w:val="00812F24"/>
    <w:rsid w:val="0081577B"/>
    <w:rsid w:val="008158E9"/>
    <w:rsid w:val="00826807"/>
    <w:rsid w:val="00837F5D"/>
    <w:rsid w:val="00853529"/>
    <w:rsid w:val="00862630"/>
    <w:rsid w:val="00864FF0"/>
    <w:rsid w:val="00886988"/>
    <w:rsid w:val="00887350"/>
    <w:rsid w:val="008A7EA2"/>
    <w:rsid w:val="008C704F"/>
    <w:rsid w:val="008C7E19"/>
    <w:rsid w:val="008D2D4F"/>
    <w:rsid w:val="00913AF5"/>
    <w:rsid w:val="0092386B"/>
    <w:rsid w:val="009337A3"/>
    <w:rsid w:val="00934D87"/>
    <w:rsid w:val="00934E2A"/>
    <w:rsid w:val="00935462"/>
    <w:rsid w:val="0094182B"/>
    <w:rsid w:val="00943664"/>
    <w:rsid w:val="00945890"/>
    <w:rsid w:val="00946B9D"/>
    <w:rsid w:val="00950F77"/>
    <w:rsid w:val="00963CCA"/>
    <w:rsid w:val="00971126"/>
    <w:rsid w:val="00972E16"/>
    <w:rsid w:val="009744F1"/>
    <w:rsid w:val="009809FA"/>
    <w:rsid w:val="00981129"/>
    <w:rsid w:val="00981243"/>
    <w:rsid w:val="00987423"/>
    <w:rsid w:val="00996C8C"/>
    <w:rsid w:val="009A7152"/>
    <w:rsid w:val="009B357D"/>
    <w:rsid w:val="009C7E8A"/>
    <w:rsid w:val="009D59DA"/>
    <w:rsid w:val="009D6AFA"/>
    <w:rsid w:val="009E64E1"/>
    <w:rsid w:val="009F4A08"/>
    <w:rsid w:val="00A010AC"/>
    <w:rsid w:val="00A03668"/>
    <w:rsid w:val="00A102D8"/>
    <w:rsid w:val="00A1338A"/>
    <w:rsid w:val="00A308B3"/>
    <w:rsid w:val="00A33346"/>
    <w:rsid w:val="00A64384"/>
    <w:rsid w:val="00A731C7"/>
    <w:rsid w:val="00A761F7"/>
    <w:rsid w:val="00A90520"/>
    <w:rsid w:val="00A9633B"/>
    <w:rsid w:val="00A968AB"/>
    <w:rsid w:val="00AA1342"/>
    <w:rsid w:val="00AA4D87"/>
    <w:rsid w:val="00AA6852"/>
    <w:rsid w:val="00AB20F7"/>
    <w:rsid w:val="00AB3852"/>
    <w:rsid w:val="00AB56B2"/>
    <w:rsid w:val="00AC3179"/>
    <w:rsid w:val="00AC3760"/>
    <w:rsid w:val="00AE5AE3"/>
    <w:rsid w:val="00AF79A9"/>
    <w:rsid w:val="00B06034"/>
    <w:rsid w:val="00B10DD1"/>
    <w:rsid w:val="00B153EC"/>
    <w:rsid w:val="00B15AB7"/>
    <w:rsid w:val="00B16202"/>
    <w:rsid w:val="00B20863"/>
    <w:rsid w:val="00B40A7F"/>
    <w:rsid w:val="00B54523"/>
    <w:rsid w:val="00B556F7"/>
    <w:rsid w:val="00B64397"/>
    <w:rsid w:val="00B66A1A"/>
    <w:rsid w:val="00B70AEA"/>
    <w:rsid w:val="00B70D7A"/>
    <w:rsid w:val="00B73351"/>
    <w:rsid w:val="00B762D6"/>
    <w:rsid w:val="00B8218A"/>
    <w:rsid w:val="00B83F4B"/>
    <w:rsid w:val="00B87D84"/>
    <w:rsid w:val="00B95DA5"/>
    <w:rsid w:val="00BB5B3C"/>
    <w:rsid w:val="00BB6F9D"/>
    <w:rsid w:val="00BB7BE0"/>
    <w:rsid w:val="00BC562B"/>
    <w:rsid w:val="00BD05C9"/>
    <w:rsid w:val="00BD52BD"/>
    <w:rsid w:val="00BD562D"/>
    <w:rsid w:val="00BE190B"/>
    <w:rsid w:val="00BF2E37"/>
    <w:rsid w:val="00BF4D20"/>
    <w:rsid w:val="00C02811"/>
    <w:rsid w:val="00C16CBC"/>
    <w:rsid w:val="00C25F11"/>
    <w:rsid w:val="00C334D1"/>
    <w:rsid w:val="00C36983"/>
    <w:rsid w:val="00C45D59"/>
    <w:rsid w:val="00C65684"/>
    <w:rsid w:val="00C6647E"/>
    <w:rsid w:val="00C742C7"/>
    <w:rsid w:val="00C75040"/>
    <w:rsid w:val="00C77955"/>
    <w:rsid w:val="00C81BE0"/>
    <w:rsid w:val="00CA22FA"/>
    <w:rsid w:val="00CB4600"/>
    <w:rsid w:val="00CB48CD"/>
    <w:rsid w:val="00CC0ACC"/>
    <w:rsid w:val="00CE3366"/>
    <w:rsid w:val="00CE5970"/>
    <w:rsid w:val="00CF05D6"/>
    <w:rsid w:val="00CF290B"/>
    <w:rsid w:val="00CF37BE"/>
    <w:rsid w:val="00CF3D9E"/>
    <w:rsid w:val="00D103AA"/>
    <w:rsid w:val="00D11B1F"/>
    <w:rsid w:val="00D2073C"/>
    <w:rsid w:val="00D3311D"/>
    <w:rsid w:val="00D34DE3"/>
    <w:rsid w:val="00D4393E"/>
    <w:rsid w:val="00D63FB4"/>
    <w:rsid w:val="00D7098F"/>
    <w:rsid w:val="00D7124C"/>
    <w:rsid w:val="00D715D7"/>
    <w:rsid w:val="00D72ACA"/>
    <w:rsid w:val="00D849D9"/>
    <w:rsid w:val="00D932BB"/>
    <w:rsid w:val="00DB38F5"/>
    <w:rsid w:val="00DB3E2A"/>
    <w:rsid w:val="00DB644D"/>
    <w:rsid w:val="00DC338D"/>
    <w:rsid w:val="00DC377F"/>
    <w:rsid w:val="00DE35B2"/>
    <w:rsid w:val="00DE4A77"/>
    <w:rsid w:val="00DE51FD"/>
    <w:rsid w:val="00DE78DA"/>
    <w:rsid w:val="00DF5381"/>
    <w:rsid w:val="00DF5FC4"/>
    <w:rsid w:val="00DF69AB"/>
    <w:rsid w:val="00DF7FC8"/>
    <w:rsid w:val="00E020F6"/>
    <w:rsid w:val="00E05776"/>
    <w:rsid w:val="00E11AA1"/>
    <w:rsid w:val="00E1608E"/>
    <w:rsid w:val="00E167ED"/>
    <w:rsid w:val="00E250C4"/>
    <w:rsid w:val="00E314EB"/>
    <w:rsid w:val="00E32A42"/>
    <w:rsid w:val="00E34FB2"/>
    <w:rsid w:val="00E46FE9"/>
    <w:rsid w:val="00E478D6"/>
    <w:rsid w:val="00E55C8B"/>
    <w:rsid w:val="00E637F4"/>
    <w:rsid w:val="00E72639"/>
    <w:rsid w:val="00E73693"/>
    <w:rsid w:val="00E772E7"/>
    <w:rsid w:val="00E81E0F"/>
    <w:rsid w:val="00E83457"/>
    <w:rsid w:val="00EA7A60"/>
    <w:rsid w:val="00EB0AE6"/>
    <w:rsid w:val="00EB4852"/>
    <w:rsid w:val="00EB67D8"/>
    <w:rsid w:val="00EC3AED"/>
    <w:rsid w:val="00ED7357"/>
    <w:rsid w:val="00EE6C02"/>
    <w:rsid w:val="00EF316D"/>
    <w:rsid w:val="00F0599A"/>
    <w:rsid w:val="00F06273"/>
    <w:rsid w:val="00F12DC8"/>
    <w:rsid w:val="00F201A6"/>
    <w:rsid w:val="00F21FDF"/>
    <w:rsid w:val="00F27443"/>
    <w:rsid w:val="00F32C51"/>
    <w:rsid w:val="00F34310"/>
    <w:rsid w:val="00F347FB"/>
    <w:rsid w:val="00F35F46"/>
    <w:rsid w:val="00F427D6"/>
    <w:rsid w:val="00F45713"/>
    <w:rsid w:val="00F45999"/>
    <w:rsid w:val="00F52D5B"/>
    <w:rsid w:val="00F53C02"/>
    <w:rsid w:val="00F559CE"/>
    <w:rsid w:val="00F609EF"/>
    <w:rsid w:val="00F706D5"/>
    <w:rsid w:val="00F70A2A"/>
    <w:rsid w:val="00F73375"/>
    <w:rsid w:val="00F76B1C"/>
    <w:rsid w:val="00F91052"/>
    <w:rsid w:val="00FA2E79"/>
    <w:rsid w:val="00FA40BB"/>
    <w:rsid w:val="00FA4D3A"/>
    <w:rsid w:val="00FC04B0"/>
    <w:rsid w:val="00FD135A"/>
    <w:rsid w:val="00FD65A2"/>
    <w:rsid w:val="00FD7884"/>
    <w:rsid w:val="00FE212C"/>
    <w:rsid w:val="00FE213A"/>
    <w:rsid w:val="00FE6524"/>
    <w:rsid w:val="00FF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5019"/>
  <w15:docId w15:val="{A8E764D1-65A2-40AE-A249-3745008E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981129"/>
    <w:pPr>
      <w:keepNext/>
      <w:spacing w:after="0" w:line="240" w:lineRule="auto"/>
      <w:jc w:val="center"/>
      <w:outlineLvl w:val="4"/>
    </w:pPr>
    <w:rPr>
      <w:rFonts w:ascii="Arial" w:eastAsia="Times New Roman" w:hAnsi="Arial" w:cs="Arial"/>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C562B"/>
    <w:pPr>
      <w:ind w:left="720"/>
      <w:contextualSpacing/>
    </w:pPr>
  </w:style>
  <w:style w:type="character" w:styleId="Hyperlink">
    <w:name w:val="Hyperlink"/>
    <w:basedOn w:val="DefaultParagraphFont"/>
    <w:uiPriority w:val="99"/>
    <w:unhideWhenUsed/>
    <w:rsid w:val="001C6876"/>
    <w:rPr>
      <w:color w:val="0563C1" w:themeColor="hyperlink"/>
      <w:u w:val="single"/>
    </w:rPr>
  </w:style>
  <w:style w:type="character" w:customStyle="1" w:styleId="Mention1">
    <w:name w:val="Mention1"/>
    <w:basedOn w:val="DefaultParagraphFont"/>
    <w:uiPriority w:val="99"/>
    <w:semiHidden/>
    <w:unhideWhenUsed/>
    <w:rsid w:val="001C6876"/>
    <w:rPr>
      <w:color w:val="2B579A"/>
      <w:shd w:val="clear" w:color="auto" w:fill="E6E6E6"/>
    </w:rPr>
  </w:style>
  <w:style w:type="table" w:styleId="TableGrid">
    <w:name w:val="Table Grid"/>
    <w:basedOn w:val="TableNormal"/>
    <w:uiPriority w:val="39"/>
    <w:rsid w:val="0054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65AF3"/>
    <w:pPr>
      <w:spacing w:after="0" w:line="240" w:lineRule="auto"/>
    </w:pPr>
    <w:rPr>
      <w:rFonts w:ascii="Calibri" w:hAnsi="Calibri" w:cs="Calibri"/>
    </w:rPr>
  </w:style>
  <w:style w:type="character" w:customStyle="1" w:styleId="spelle">
    <w:name w:val="spelle"/>
    <w:basedOn w:val="DefaultParagraphFont"/>
    <w:rsid w:val="00065AF3"/>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345591"/>
  </w:style>
  <w:style w:type="paragraph" w:styleId="BalloonText">
    <w:name w:val="Balloon Text"/>
    <w:basedOn w:val="Normal"/>
    <w:link w:val="BalloonTextChar"/>
    <w:uiPriority w:val="99"/>
    <w:semiHidden/>
    <w:unhideWhenUsed/>
    <w:rsid w:val="005C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54"/>
    <w:rPr>
      <w:rFonts w:ascii="Tahoma" w:hAnsi="Tahoma" w:cs="Tahoma"/>
      <w:sz w:val="16"/>
      <w:szCs w:val="16"/>
    </w:rPr>
  </w:style>
  <w:style w:type="character" w:customStyle="1" w:styleId="NoSpacingChar">
    <w:name w:val="No Spacing Char"/>
    <w:link w:val="NoSpacing"/>
    <w:uiPriority w:val="1"/>
    <w:locked/>
    <w:rsid w:val="00981243"/>
    <w:rPr>
      <w:rFonts w:ascii="Calibri" w:hAnsi="Calibri" w:cs="Calibri"/>
    </w:rPr>
  </w:style>
  <w:style w:type="paragraph" w:styleId="Header">
    <w:name w:val="header"/>
    <w:basedOn w:val="Normal"/>
    <w:link w:val="HeaderChar"/>
    <w:uiPriority w:val="99"/>
    <w:unhideWhenUsed/>
    <w:rsid w:val="00F1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DC8"/>
  </w:style>
  <w:style w:type="paragraph" w:styleId="Footer">
    <w:name w:val="footer"/>
    <w:basedOn w:val="Normal"/>
    <w:link w:val="FooterChar"/>
    <w:uiPriority w:val="99"/>
    <w:unhideWhenUsed/>
    <w:rsid w:val="00F1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DC8"/>
  </w:style>
  <w:style w:type="character" w:customStyle="1" w:styleId="Heading5Char">
    <w:name w:val="Heading 5 Char"/>
    <w:basedOn w:val="DefaultParagraphFont"/>
    <w:link w:val="Heading5"/>
    <w:rsid w:val="00981129"/>
    <w:rPr>
      <w:rFonts w:ascii="Arial" w:eastAsia="Times New Roman" w:hAnsi="Arial" w:cs="Arial"/>
      <w:b/>
      <w:bCs/>
      <w:sz w:val="32"/>
      <w:szCs w:val="24"/>
      <w:u w:val="single"/>
    </w:rPr>
  </w:style>
  <w:style w:type="paragraph" w:styleId="PlainText">
    <w:name w:val="Plain Text"/>
    <w:basedOn w:val="Normal"/>
    <w:link w:val="PlainTextChar"/>
    <w:uiPriority w:val="99"/>
    <w:semiHidden/>
    <w:unhideWhenUsed/>
    <w:rsid w:val="007C17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1716"/>
    <w:rPr>
      <w:rFonts w:ascii="Calibri" w:hAnsi="Calibri"/>
      <w:szCs w:val="21"/>
    </w:rPr>
  </w:style>
  <w:style w:type="paragraph" w:styleId="NormalWeb">
    <w:name w:val="Normal (Web)"/>
    <w:basedOn w:val="Normal"/>
    <w:uiPriority w:val="99"/>
    <w:unhideWhenUsed/>
    <w:rsid w:val="00A9633B"/>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1715">
      <w:bodyDiv w:val="1"/>
      <w:marLeft w:val="0"/>
      <w:marRight w:val="0"/>
      <w:marTop w:val="0"/>
      <w:marBottom w:val="0"/>
      <w:divBdr>
        <w:top w:val="none" w:sz="0" w:space="0" w:color="auto"/>
        <w:left w:val="none" w:sz="0" w:space="0" w:color="auto"/>
        <w:bottom w:val="none" w:sz="0" w:space="0" w:color="auto"/>
        <w:right w:val="none" w:sz="0" w:space="0" w:color="auto"/>
      </w:divBdr>
    </w:div>
    <w:div w:id="86124606">
      <w:bodyDiv w:val="1"/>
      <w:marLeft w:val="0"/>
      <w:marRight w:val="0"/>
      <w:marTop w:val="0"/>
      <w:marBottom w:val="0"/>
      <w:divBdr>
        <w:top w:val="none" w:sz="0" w:space="0" w:color="auto"/>
        <w:left w:val="none" w:sz="0" w:space="0" w:color="auto"/>
        <w:bottom w:val="none" w:sz="0" w:space="0" w:color="auto"/>
        <w:right w:val="none" w:sz="0" w:space="0" w:color="auto"/>
      </w:divBdr>
    </w:div>
    <w:div w:id="108858615">
      <w:bodyDiv w:val="1"/>
      <w:marLeft w:val="0"/>
      <w:marRight w:val="0"/>
      <w:marTop w:val="0"/>
      <w:marBottom w:val="0"/>
      <w:divBdr>
        <w:top w:val="none" w:sz="0" w:space="0" w:color="auto"/>
        <w:left w:val="none" w:sz="0" w:space="0" w:color="auto"/>
        <w:bottom w:val="none" w:sz="0" w:space="0" w:color="auto"/>
        <w:right w:val="none" w:sz="0" w:space="0" w:color="auto"/>
      </w:divBdr>
    </w:div>
    <w:div w:id="155150134">
      <w:bodyDiv w:val="1"/>
      <w:marLeft w:val="0"/>
      <w:marRight w:val="0"/>
      <w:marTop w:val="0"/>
      <w:marBottom w:val="0"/>
      <w:divBdr>
        <w:top w:val="none" w:sz="0" w:space="0" w:color="auto"/>
        <w:left w:val="none" w:sz="0" w:space="0" w:color="auto"/>
        <w:bottom w:val="none" w:sz="0" w:space="0" w:color="auto"/>
        <w:right w:val="none" w:sz="0" w:space="0" w:color="auto"/>
      </w:divBdr>
    </w:div>
    <w:div w:id="160394844">
      <w:bodyDiv w:val="1"/>
      <w:marLeft w:val="0"/>
      <w:marRight w:val="0"/>
      <w:marTop w:val="0"/>
      <w:marBottom w:val="0"/>
      <w:divBdr>
        <w:top w:val="none" w:sz="0" w:space="0" w:color="auto"/>
        <w:left w:val="none" w:sz="0" w:space="0" w:color="auto"/>
        <w:bottom w:val="none" w:sz="0" w:space="0" w:color="auto"/>
        <w:right w:val="none" w:sz="0" w:space="0" w:color="auto"/>
      </w:divBdr>
    </w:div>
    <w:div w:id="228156898">
      <w:bodyDiv w:val="1"/>
      <w:marLeft w:val="0"/>
      <w:marRight w:val="0"/>
      <w:marTop w:val="0"/>
      <w:marBottom w:val="0"/>
      <w:divBdr>
        <w:top w:val="none" w:sz="0" w:space="0" w:color="auto"/>
        <w:left w:val="none" w:sz="0" w:space="0" w:color="auto"/>
        <w:bottom w:val="none" w:sz="0" w:space="0" w:color="auto"/>
        <w:right w:val="none" w:sz="0" w:space="0" w:color="auto"/>
      </w:divBdr>
    </w:div>
    <w:div w:id="314189286">
      <w:bodyDiv w:val="1"/>
      <w:marLeft w:val="0"/>
      <w:marRight w:val="0"/>
      <w:marTop w:val="0"/>
      <w:marBottom w:val="0"/>
      <w:divBdr>
        <w:top w:val="none" w:sz="0" w:space="0" w:color="auto"/>
        <w:left w:val="none" w:sz="0" w:space="0" w:color="auto"/>
        <w:bottom w:val="none" w:sz="0" w:space="0" w:color="auto"/>
        <w:right w:val="none" w:sz="0" w:space="0" w:color="auto"/>
      </w:divBdr>
    </w:div>
    <w:div w:id="368606811">
      <w:bodyDiv w:val="1"/>
      <w:marLeft w:val="0"/>
      <w:marRight w:val="0"/>
      <w:marTop w:val="0"/>
      <w:marBottom w:val="0"/>
      <w:divBdr>
        <w:top w:val="none" w:sz="0" w:space="0" w:color="auto"/>
        <w:left w:val="none" w:sz="0" w:space="0" w:color="auto"/>
        <w:bottom w:val="none" w:sz="0" w:space="0" w:color="auto"/>
        <w:right w:val="none" w:sz="0" w:space="0" w:color="auto"/>
      </w:divBdr>
    </w:div>
    <w:div w:id="397827547">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514424076">
      <w:bodyDiv w:val="1"/>
      <w:marLeft w:val="0"/>
      <w:marRight w:val="0"/>
      <w:marTop w:val="0"/>
      <w:marBottom w:val="0"/>
      <w:divBdr>
        <w:top w:val="none" w:sz="0" w:space="0" w:color="auto"/>
        <w:left w:val="none" w:sz="0" w:space="0" w:color="auto"/>
        <w:bottom w:val="none" w:sz="0" w:space="0" w:color="auto"/>
        <w:right w:val="none" w:sz="0" w:space="0" w:color="auto"/>
      </w:divBdr>
    </w:div>
    <w:div w:id="594442172">
      <w:bodyDiv w:val="1"/>
      <w:marLeft w:val="0"/>
      <w:marRight w:val="0"/>
      <w:marTop w:val="0"/>
      <w:marBottom w:val="0"/>
      <w:divBdr>
        <w:top w:val="none" w:sz="0" w:space="0" w:color="auto"/>
        <w:left w:val="none" w:sz="0" w:space="0" w:color="auto"/>
        <w:bottom w:val="none" w:sz="0" w:space="0" w:color="auto"/>
        <w:right w:val="none" w:sz="0" w:space="0" w:color="auto"/>
      </w:divBdr>
    </w:div>
    <w:div w:id="595361652">
      <w:bodyDiv w:val="1"/>
      <w:marLeft w:val="0"/>
      <w:marRight w:val="0"/>
      <w:marTop w:val="0"/>
      <w:marBottom w:val="0"/>
      <w:divBdr>
        <w:top w:val="none" w:sz="0" w:space="0" w:color="auto"/>
        <w:left w:val="none" w:sz="0" w:space="0" w:color="auto"/>
        <w:bottom w:val="none" w:sz="0" w:space="0" w:color="auto"/>
        <w:right w:val="none" w:sz="0" w:space="0" w:color="auto"/>
      </w:divBdr>
    </w:div>
    <w:div w:id="596131515">
      <w:bodyDiv w:val="1"/>
      <w:marLeft w:val="0"/>
      <w:marRight w:val="0"/>
      <w:marTop w:val="0"/>
      <w:marBottom w:val="0"/>
      <w:divBdr>
        <w:top w:val="none" w:sz="0" w:space="0" w:color="auto"/>
        <w:left w:val="none" w:sz="0" w:space="0" w:color="auto"/>
        <w:bottom w:val="none" w:sz="0" w:space="0" w:color="auto"/>
        <w:right w:val="none" w:sz="0" w:space="0" w:color="auto"/>
      </w:divBdr>
    </w:div>
    <w:div w:id="679311929">
      <w:bodyDiv w:val="1"/>
      <w:marLeft w:val="0"/>
      <w:marRight w:val="0"/>
      <w:marTop w:val="0"/>
      <w:marBottom w:val="0"/>
      <w:divBdr>
        <w:top w:val="none" w:sz="0" w:space="0" w:color="auto"/>
        <w:left w:val="none" w:sz="0" w:space="0" w:color="auto"/>
        <w:bottom w:val="none" w:sz="0" w:space="0" w:color="auto"/>
        <w:right w:val="none" w:sz="0" w:space="0" w:color="auto"/>
      </w:divBdr>
    </w:div>
    <w:div w:id="714476069">
      <w:bodyDiv w:val="1"/>
      <w:marLeft w:val="0"/>
      <w:marRight w:val="0"/>
      <w:marTop w:val="0"/>
      <w:marBottom w:val="0"/>
      <w:divBdr>
        <w:top w:val="none" w:sz="0" w:space="0" w:color="auto"/>
        <w:left w:val="none" w:sz="0" w:space="0" w:color="auto"/>
        <w:bottom w:val="none" w:sz="0" w:space="0" w:color="auto"/>
        <w:right w:val="none" w:sz="0" w:space="0" w:color="auto"/>
      </w:divBdr>
    </w:div>
    <w:div w:id="718633491">
      <w:bodyDiv w:val="1"/>
      <w:marLeft w:val="0"/>
      <w:marRight w:val="0"/>
      <w:marTop w:val="0"/>
      <w:marBottom w:val="0"/>
      <w:divBdr>
        <w:top w:val="none" w:sz="0" w:space="0" w:color="auto"/>
        <w:left w:val="none" w:sz="0" w:space="0" w:color="auto"/>
        <w:bottom w:val="none" w:sz="0" w:space="0" w:color="auto"/>
        <w:right w:val="none" w:sz="0" w:space="0" w:color="auto"/>
      </w:divBdr>
    </w:div>
    <w:div w:id="794296895">
      <w:bodyDiv w:val="1"/>
      <w:marLeft w:val="0"/>
      <w:marRight w:val="0"/>
      <w:marTop w:val="0"/>
      <w:marBottom w:val="0"/>
      <w:divBdr>
        <w:top w:val="none" w:sz="0" w:space="0" w:color="auto"/>
        <w:left w:val="none" w:sz="0" w:space="0" w:color="auto"/>
        <w:bottom w:val="none" w:sz="0" w:space="0" w:color="auto"/>
        <w:right w:val="none" w:sz="0" w:space="0" w:color="auto"/>
      </w:divBdr>
    </w:div>
    <w:div w:id="810250820">
      <w:bodyDiv w:val="1"/>
      <w:marLeft w:val="0"/>
      <w:marRight w:val="0"/>
      <w:marTop w:val="0"/>
      <w:marBottom w:val="0"/>
      <w:divBdr>
        <w:top w:val="none" w:sz="0" w:space="0" w:color="auto"/>
        <w:left w:val="none" w:sz="0" w:space="0" w:color="auto"/>
        <w:bottom w:val="none" w:sz="0" w:space="0" w:color="auto"/>
        <w:right w:val="none" w:sz="0" w:space="0" w:color="auto"/>
      </w:divBdr>
    </w:div>
    <w:div w:id="812912679">
      <w:bodyDiv w:val="1"/>
      <w:marLeft w:val="0"/>
      <w:marRight w:val="0"/>
      <w:marTop w:val="0"/>
      <w:marBottom w:val="0"/>
      <w:divBdr>
        <w:top w:val="none" w:sz="0" w:space="0" w:color="auto"/>
        <w:left w:val="none" w:sz="0" w:space="0" w:color="auto"/>
        <w:bottom w:val="none" w:sz="0" w:space="0" w:color="auto"/>
        <w:right w:val="none" w:sz="0" w:space="0" w:color="auto"/>
      </w:divBdr>
    </w:div>
    <w:div w:id="817069452">
      <w:bodyDiv w:val="1"/>
      <w:marLeft w:val="0"/>
      <w:marRight w:val="0"/>
      <w:marTop w:val="0"/>
      <w:marBottom w:val="0"/>
      <w:divBdr>
        <w:top w:val="none" w:sz="0" w:space="0" w:color="auto"/>
        <w:left w:val="none" w:sz="0" w:space="0" w:color="auto"/>
        <w:bottom w:val="none" w:sz="0" w:space="0" w:color="auto"/>
        <w:right w:val="none" w:sz="0" w:space="0" w:color="auto"/>
      </w:divBdr>
    </w:div>
    <w:div w:id="826941200">
      <w:bodyDiv w:val="1"/>
      <w:marLeft w:val="0"/>
      <w:marRight w:val="0"/>
      <w:marTop w:val="0"/>
      <w:marBottom w:val="0"/>
      <w:divBdr>
        <w:top w:val="none" w:sz="0" w:space="0" w:color="auto"/>
        <w:left w:val="none" w:sz="0" w:space="0" w:color="auto"/>
        <w:bottom w:val="none" w:sz="0" w:space="0" w:color="auto"/>
        <w:right w:val="none" w:sz="0" w:space="0" w:color="auto"/>
      </w:divBdr>
    </w:div>
    <w:div w:id="915893593">
      <w:bodyDiv w:val="1"/>
      <w:marLeft w:val="0"/>
      <w:marRight w:val="0"/>
      <w:marTop w:val="0"/>
      <w:marBottom w:val="0"/>
      <w:divBdr>
        <w:top w:val="none" w:sz="0" w:space="0" w:color="auto"/>
        <w:left w:val="none" w:sz="0" w:space="0" w:color="auto"/>
        <w:bottom w:val="none" w:sz="0" w:space="0" w:color="auto"/>
        <w:right w:val="none" w:sz="0" w:space="0" w:color="auto"/>
      </w:divBdr>
    </w:div>
    <w:div w:id="937908469">
      <w:bodyDiv w:val="1"/>
      <w:marLeft w:val="0"/>
      <w:marRight w:val="0"/>
      <w:marTop w:val="0"/>
      <w:marBottom w:val="0"/>
      <w:divBdr>
        <w:top w:val="none" w:sz="0" w:space="0" w:color="auto"/>
        <w:left w:val="none" w:sz="0" w:space="0" w:color="auto"/>
        <w:bottom w:val="none" w:sz="0" w:space="0" w:color="auto"/>
        <w:right w:val="none" w:sz="0" w:space="0" w:color="auto"/>
      </w:divBdr>
    </w:div>
    <w:div w:id="958221716">
      <w:bodyDiv w:val="1"/>
      <w:marLeft w:val="0"/>
      <w:marRight w:val="0"/>
      <w:marTop w:val="0"/>
      <w:marBottom w:val="0"/>
      <w:divBdr>
        <w:top w:val="none" w:sz="0" w:space="0" w:color="auto"/>
        <w:left w:val="none" w:sz="0" w:space="0" w:color="auto"/>
        <w:bottom w:val="none" w:sz="0" w:space="0" w:color="auto"/>
        <w:right w:val="none" w:sz="0" w:space="0" w:color="auto"/>
      </w:divBdr>
    </w:div>
    <w:div w:id="964892026">
      <w:bodyDiv w:val="1"/>
      <w:marLeft w:val="0"/>
      <w:marRight w:val="0"/>
      <w:marTop w:val="0"/>
      <w:marBottom w:val="0"/>
      <w:divBdr>
        <w:top w:val="none" w:sz="0" w:space="0" w:color="auto"/>
        <w:left w:val="none" w:sz="0" w:space="0" w:color="auto"/>
        <w:bottom w:val="none" w:sz="0" w:space="0" w:color="auto"/>
        <w:right w:val="none" w:sz="0" w:space="0" w:color="auto"/>
      </w:divBdr>
    </w:div>
    <w:div w:id="96562531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09797463">
      <w:bodyDiv w:val="1"/>
      <w:marLeft w:val="0"/>
      <w:marRight w:val="0"/>
      <w:marTop w:val="0"/>
      <w:marBottom w:val="0"/>
      <w:divBdr>
        <w:top w:val="none" w:sz="0" w:space="0" w:color="auto"/>
        <w:left w:val="none" w:sz="0" w:space="0" w:color="auto"/>
        <w:bottom w:val="none" w:sz="0" w:space="0" w:color="auto"/>
        <w:right w:val="none" w:sz="0" w:space="0" w:color="auto"/>
      </w:divBdr>
    </w:div>
    <w:div w:id="1012338650">
      <w:bodyDiv w:val="1"/>
      <w:marLeft w:val="0"/>
      <w:marRight w:val="0"/>
      <w:marTop w:val="0"/>
      <w:marBottom w:val="0"/>
      <w:divBdr>
        <w:top w:val="none" w:sz="0" w:space="0" w:color="auto"/>
        <w:left w:val="none" w:sz="0" w:space="0" w:color="auto"/>
        <w:bottom w:val="none" w:sz="0" w:space="0" w:color="auto"/>
        <w:right w:val="none" w:sz="0" w:space="0" w:color="auto"/>
      </w:divBdr>
    </w:div>
    <w:div w:id="1013143882">
      <w:bodyDiv w:val="1"/>
      <w:marLeft w:val="0"/>
      <w:marRight w:val="0"/>
      <w:marTop w:val="0"/>
      <w:marBottom w:val="0"/>
      <w:divBdr>
        <w:top w:val="none" w:sz="0" w:space="0" w:color="auto"/>
        <w:left w:val="none" w:sz="0" w:space="0" w:color="auto"/>
        <w:bottom w:val="none" w:sz="0" w:space="0" w:color="auto"/>
        <w:right w:val="none" w:sz="0" w:space="0" w:color="auto"/>
      </w:divBdr>
    </w:div>
    <w:div w:id="1051417212">
      <w:bodyDiv w:val="1"/>
      <w:marLeft w:val="0"/>
      <w:marRight w:val="0"/>
      <w:marTop w:val="0"/>
      <w:marBottom w:val="0"/>
      <w:divBdr>
        <w:top w:val="none" w:sz="0" w:space="0" w:color="auto"/>
        <w:left w:val="none" w:sz="0" w:space="0" w:color="auto"/>
        <w:bottom w:val="none" w:sz="0" w:space="0" w:color="auto"/>
        <w:right w:val="none" w:sz="0" w:space="0" w:color="auto"/>
      </w:divBdr>
    </w:div>
    <w:div w:id="1089355024">
      <w:bodyDiv w:val="1"/>
      <w:marLeft w:val="0"/>
      <w:marRight w:val="0"/>
      <w:marTop w:val="0"/>
      <w:marBottom w:val="0"/>
      <w:divBdr>
        <w:top w:val="none" w:sz="0" w:space="0" w:color="auto"/>
        <w:left w:val="none" w:sz="0" w:space="0" w:color="auto"/>
        <w:bottom w:val="none" w:sz="0" w:space="0" w:color="auto"/>
        <w:right w:val="none" w:sz="0" w:space="0" w:color="auto"/>
      </w:divBdr>
    </w:div>
    <w:div w:id="1116868495">
      <w:bodyDiv w:val="1"/>
      <w:marLeft w:val="0"/>
      <w:marRight w:val="0"/>
      <w:marTop w:val="0"/>
      <w:marBottom w:val="0"/>
      <w:divBdr>
        <w:top w:val="none" w:sz="0" w:space="0" w:color="auto"/>
        <w:left w:val="none" w:sz="0" w:space="0" w:color="auto"/>
        <w:bottom w:val="none" w:sz="0" w:space="0" w:color="auto"/>
        <w:right w:val="none" w:sz="0" w:space="0" w:color="auto"/>
      </w:divBdr>
    </w:div>
    <w:div w:id="1130124427">
      <w:bodyDiv w:val="1"/>
      <w:marLeft w:val="0"/>
      <w:marRight w:val="0"/>
      <w:marTop w:val="0"/>
      <w:marBottom w:val="0"/>
      <w:divBdr>
        <w:top w:val="none" w:sz="0" w:space="0" w:color="auto"/>
        <w:left w:val="none" w:sz="0" w:space="0" w:color="auto"/>
        <w:bottom w:val="none" w:sz="0" w:space="0" w:color="auto"/>
        <w:right w:val="none" w:sz="0" w:space="0" w:color="auto"/>
      </w:divBdr>
    </w:div>
    <w:div w:id="1130824960">
      <w:bodyDiv w:val="1"/>
      <w:marLeft w:val="0"/>
      <w:marRight w:val="0"/>
      <w:marTop w:val="0"/>
      <w:marBottom w:val="0"/>
      <w:divBdr>
        <w:top w:val="none" w:sz="0" w:space="0" w:color="auto"/>
        <w:left w:val="none" w:sz="0" w:space="0" w:color="auto"/>
        <w:bottom w:val="none" w:sz="0" w:space="0" w:color="auto"/>
        <w:right w:val="none" w:sz="0" w:space="0" w:color="auto"/>
      </w:divBdr>
    </w:div>
    <w:div w:id="1154641596">
      <w:bodyDiv w:val="1"/>
      <w:marLeft w:val="0"/>
      <w:marRight w:val="0"/>
      <w:marTop w:val="0"/>
      <w:marBottom w:val="0"/>
      <w:divBdr>
        <w:top w:val="none" w:sz="0" w:space="0" w:color="auto"/>
        <w:left w:val="none" w:sz="0" w:space="0" w:color="auto"/>
        <w:bottom w:val="none" w:sz="0" w:space="0" w:color="auto"/>
        <w:right w:val="none" w:sz="0" w:space="0" w:color="auto"/>
      </w:divBdr>
    </w:div>
    <w:div w:id="1196503777">
      <w:bodyDiv w:val="1"/>
      <w:marLeft w:val="0"/>
      <w:marRight w:val="0"/>
      <w:marTop w:val="0"/>
      <w:marBottom w:val="0"/>
      <w:divBdr>
        <w:top w:val="none" w:sz="0" w:space="0" w:color="auto"/>
        <w:left w:val="none" w:sz="0" w:space="0" w:color="auto"/>
        <w:bottom w:val="none" w:sz="0" w:space="0" w:color="auto"/>
        <w:right w:val="none" w:sz="0" w:space="0" w:color="auto"/>
      </w:divBdr>
    </w:div>
    <w:div w:id="1222207400">
      <w:bodyDiv w:val="1"/>
      <w:marLeft w:val="0"/>
      <w:marRight w:val="0"/>
      <w:marTop w:val="0"/>
      <w:marBottom w:val="0"/>
      <w:divBdr>
        <w:top w:val="none" w:sz="0" w:space="0" w:color="auto"/>
        <w:left w:val="none" w:sz="0" w:space="0" w:color="auto"/>
        <w:bottom w:val="none" w:sz="0" w:space="0" w:color="auto"/>
        <w:right w:val="none" w:sz="0" w:space="0" w:color="auto"/>
      </w:divBdr>
    </w:div>
    <w:div w:id="1230766938">
      <w:bodyDiv w:val="1"/>
      <w:marLeft w:val="0"/>
      <w:marRight w:val="0"/>
      <w:marTop w:val="0"/>
      <w:marBottom w:val="0"/>
      <w:divBdr>
        <w:top w:val="none" w:sz="0" w:space="0" w:color="auto"/>
        <w:left w:val="none" w:sz="0" w:space="0" w:color="auto"/>
        <w:bottom w:val="none" w:sz="0" w:space="0" w:color="auto"/>
        <w:right w:val="none" w:sz="0" w:space="0" w:color="auto"/>
      </w:divBdr>
    </w:div>
    <w:div w:id="1313564164">
      <w:bodyDiv w:val="1"/>
      <w:marLeft w:val="0"/>
      <w:marRight w:val="0"/>
      <w:marTop w:val="0"/>
      <w:marBottom w:val="0"/>
      <w:divBdr>
        <w:top w:val="none" w:sz="0" w:space="0" w:color="auto"/>
        <w:left w:val="none" w:sz="0" w:space="0" w:color="auto"/>
        <w:bottom w:val="none" w:sz="0" w:space="0" w:color="auto"/>
        <w:right w:val="none" w:sz="0" w:space="0" w:color="auto"/>
      </w:divBdr>
    </w:div>
    <w:div w:id="1344817003">
      <w:bodyDiv w:val="1"/>
      <w:marLeft w:val="0"/>
      <w:marRight w:val="0"/>
      <w:marTop w:val="0"/>
      <w:marBottom w:val="0"/>
      <w:divBdr>
        <w:top w:val="none" w:sz="0" w:space="0" w:color="auto"/>
        <w:left w:val="none" w:sz="0" w:space="0" w:color="auto"/>
        <w:bottom w:val="none" w:sz="0" w:space="0" w:color="auto"/>
        <w:right w:val="none" w:sz="0" w:space="0" w:color="auto"/>
      </w:divBdr>
    </w:div>
    <w:div w:id="1397171392">
      <w:bodyDiv w:val="1"/>
      <w:marLeft w:val="0"/>
      <w:marRight w:val="0"/>
      <w:marTop w:val="0"/>
      <w:marBottom w:val="0"/>
      <w:divBdr>
        <w:top w:val="none" w:sz="0" w:space="0" w:color="auto"/>
        <w:left w:val="none" w:sz="0" w:space="0" w:color="auto"/>
        <w:bottom w:val="none" w:sz="0" w:space="0" w:color="auto"/>
        <w:right w:val="none" w:sz="0" w:space="0" w:color="auto"/>
      </w:divBdr>
    </w:div>
    <w:div w:id="1408771393">
      <w:bodyDiv w:val="1"/>
      <w:marLeft w:val="0"/>
      <w:marRight w:val="0"/>
      <w:marTop w:val="0"/>
      <w:marBottom w:val="0"/>
      <w:divBdr>
        <w:top w:val="none" w:sz="0" w:space="0" w:color="auto"/>
        <w:left w:val="none" w:sz="0" w:space="0" w:color="auto"/>
        <w:bottom w:val="none" w:sz="0" w:space="0" w:color="auto"/>
        <w:right w:val="none" w:sz="0" w:space="0" w:color="auto"/>
      </w:divBdr>
    </w:div>
    <w:div w:id="1549492356">
      <w:bodyDiv w:val="1"/>
      <w:marLeft w:val="0"/>
      <w:marRight w:val="0"/>
      <w:marTop w:val="0"/>
      <w:marBottom w:val="0"/>
      <w:divBdr>
        <w:top w:val="none" w:sz="0" w:space="0" w:color="auto"/>
        <w:left w:val="none" w:sz="0" w:space="0" w:color="auto"/>
        <w:bottom w:val="none" w:sz="0" w:space="0" w:color="auto"/>
        <w:right w:val="none" w:sz="0" w:space="0" w:color="auto"/>
      </w:divBdr>
    </w:div>
    <w:div w:id="1555694218">
      <w:bodyDiv w:val="1"/>
      <w:marLeft w:val="0"/>
      <w:marRight w:val="0"/>
      <w:marTop w:val="0"/>
      <w:marBottom w:val="0"/>
      <w:divBdr>
        <w:top w:val="none" w:sz="0" w:space="0" w:color="auto"/>
        <w:left w:val="none" w:sz="0" w:space="0" w:color="auto"/>
        <w:bottom w:val="none" w:sz="0" w:space="0" w:color="auto"/>
        <w:right w:val="none" w:sz="0" w:space="0" w:color="auto"/>
      </w:divBdr>
    </w:div>
    <w:div w:id="1561743142">
      <w:bodyDiv w:val="1"/>
      <w:marLeft w:val="0"/>
      <w:marRight w:val="0"/>
      <w:marTop w:val="0"/>
      <w:marBottom w:val="0"/>
      <w:divBdr>
        <w:top w:val="none" w:sz="0" w:space="0" w:color="auto"/>
        <w:left w:val="none" w:sz="0" w:space="0" w:color="auto"/>
        <w:bottom w:val="none" w:sz="0" w:space="0" w:color="auto"/>
        <w:right w:val="none" w:sz="0" w:space="0" w:color="auto"/>
      </w:divBdr>
    </w:div>
    <w:div w:id="1619295247">
      <w:bodyDiv w:val="1"/>
      <w:marLeft w:val="0"/>
      <w:marRight w:val="0"/>
      <w:marTop w:val="0"/>
      <w:marBottom w:val="0"/>
      <w:divBdr>
        <w:top w:val="none" w:sz="0" w:space="0" w:color="auto"/>
        <w:left w:val="none" w:sz="0" w:space="0" w:color="auto"/>
        <w:bottom w:val="none" w:sz="0" w:space="0" w:color="auto"/>
        <w:right w:val="none" w:sz="0" w:space="0" w:color="auto"/>
      </w:divBdr>
    </w:div>
    <w:div w:id="1620911934">
      <w:bodyDiv w:val="1"/>
      <w:marLeft w:val="0"/>
      <w:marRight w:val="0"/>
      <w:marTop w:val="0"/>
      <w:marBottom w:val="0"/>
      <w:divBdr>
        <w:top w:val="none" w:sz="0" w:space="0" w:color="auto"/>
        <w:left w:val="none" w:sz="0" w:space="0" w:color="auto"/>
        <w:bottom w:val="none" w:sz="0" w:space="0" w:color="auto"/>
        <w:right w:val="none" w:sz="0" w:space="0" w:color="auto"/>
      </w:divBdr>
    </w:div>
    <w:div w:id="1638412938">
      <w:bodyDiv w:val="1"/>
      <w:marLeft w:val="0"/>
      <w:marRight w:val="0"/>
      <w:marTop w:val="0"/>
      <w:marBottom w:val="0"/>
      <w:divBdr>
        <w:top w:val="none" w:sz="0" w:space="0" w:color="auto"/>
        <w:left w:val="none" w:sz="0" w:space="0" w:color="auto"/>
        <w:bottom w:val="none" w:sz="0" w:space="0" w:color="auto"/>
        <w:right w:val="none" w:sz="0" w:space="0" w:color="auto"/>
      </w:divBdr>
    </w:div>
    <w:div w:id="1686202444">
      <w:bodyDiv w:val="1"/>
      <w:marLeft w:val="0"/>
      <w:marRight w:val="0"/>
      <w:marTop w:val="0"/>
      <w:marBottom w:val="0"/>
      <w:divBdr>
        <w:top w:val="none" w:sz="0" w:space="0" w:color="auto"/>
        <w:left w:val="none" w:sz="0" w:space="0" w:color="auto"/>
        <w:bottom w:val="none" w:sz="0" w:space="0" w:color="auto"/>
        <w:right w:val="none" w:sz="0" w:space="0" w:color="auto"/>
      </w:divBdr>
    </w:div>
    <w:div w:id="1688097525">
      <w:bodyDiv w:val="1"/>
      <w:marLeft w:val="0"/>
      <w:marRight w:val="0"/>
      <w:marTop w:val="0"/>
      <w:marBottom w:val="0"/>
      <w:divBdr>
        <w:top w:val="none" w:sz="0" w:space="0" w:color="auto"/>
        <w:left w:val="none" w:sz="0" w:space="0" w:color="auto"/>
        <w:bottom w:val="none" w:sz="0" w:space="0" w:color="auto"/>
        <w:right w:val="none" w:sz="0" w:space="0" w:color="auto"/>
      </w:divBdr>
    </w:div>
    <w:div w:id="1692217732">
      <w:bodyDiv w:val="1"/>
      <w:marLeft w:val="0"/>
      <w:marRight w:val="0"/>
      <w:marTop w:val="0"/>
      <w:marBottom w:val="0"/>
      <w:divBdr>
        <w:top w:val="none" w:sz="0" w:space="0" w:color="auto"/>
        <w:left w:val="none" w:sz="0" w:space="0" w:color="auto"/>
        <w:bottom w:val="none" w:sz="0" w:space="0" w:color="auto"/>
        <w:right w:val="none" w:sz="0" w:space="0" w:color="auto"/>
      </w:divBdr>
    </w:div>
    <w:div w:id="1697778674">
      <w:bodyDiv w:val="1"/>
      <w:marLeft w:val="0"/>
      <w:marRight w:val="0"/>
      <w:marTop w:val="0"/>
      <w:marBottom w:val="0"/>
      <w:divBdr>
        <w:top w:val="none" w:sz="0" w:space="0" w:color="auto"/>
        <w:left w:val="none" w:sz="0" w:space="0" w:color="auto"/>
        <w:bottom w:val="none" w:sz="0" w:space="0" w:color="auto"/>
        <w:right w:val="none" w:sz="0" w:space="0" w:color="auto"/>
      </w:divBdr>
    </w:div>
    <w:div w:id="1699546769">
      <w:bodyDiv w:val="1"/>
      <w:marLeft w:val="0"/>
      <w:marRight w:val="0"/>
      <w:marTop w:val="0"/>
      <w:marBottom w:val="0"/>
      <w:divBdr>
        <w:top w:val="none" w:sz="0" w:space="0" w:color="auto"/>
        <w:left w:val="none" w:sz="0" w:space="0" w:color="auto"/>
        <w:bottom w:val="none" w:sz="0" w:space="0" w:color="auto"/>
        <w:right w:val="none" w:sz="0" w:space="0" w:color="auto"/>
      </w:divBdr>
    </w:div>
    <w:div w:id="1806312385">
      <w:bodyDiv w:val="1"/>
      <w:marLeft w:val="0"/>
      <w:marRight w:val="0"/>
      <w:marTop w:val="0"/>
      <w:marBottom w:val="0"/>
      <w:divBdr>
        <w:top w:val="none" w:sz="0" w:space="0" w:color="auto"/>
        <w:left w:val="none" w:sz="0" w:space="0" w:color="auto"/>
        <w:bottom w:val="none" w:sz="0" w:space="0" w:color="auto"/>
        <w:right w:val="none" w:sz="0" w:space="0" w:color="auto"/>
      </w:divBdr>
    </w:div>
    <w:div w:id="1831865591">
      <w:bodyDiv w:val="1"/>
      <w:marLeft w:val="0"/>
      <w:marRight w:val="0"/>
      <w:marTop w:val="0"/>
      <w:marBottom w:val="0"/>
      <w:divBdr>
        <w:top w:val="none" w:sz="0" w:space="0" w:color="auto"/>
        <w:left w:val="none" w:sz="0" w:space="0" w:color="auto"/>
        <w:bottom w:val="none" w:sz="0" w:space="0" w:color="auto"/>
        <w:right w:val="none" w:sz="0" w:space="0" w:color="auto"/>
      </w:divBdr>
    </w:div>
    <w:div w:id="1979413832">
      <w:bodyDiv w:val="1"/>
      <w:marLeft w:val="0"/>
      <w:marRight w:val="0"/>
      <w:marTop w:val="0"/>
      <w:marBottom w:val="0"/>
      <w:divBdr>
        <w:top w:val="none" w:sz="0" w:space="0" w:color="auto"/>
        <w:left w:val="none" w:sz="0" w:space="0" w:color="auto"/>
        <w:bottom w:val="none" w:sz="0" w:space="0" w:color="auto"/>
        <w:right w:val="none" w:sz="0" w:space="0" w:color="auto"/>
      </w:divBdr>
    </w:div>
    <w:div w:id="1989092149">
      <w:bodyDiv w:val="1"/>
      <w:marLeft w:val="0"/>
      <w:marRight w:val="0"/>
      <w:marTop w:val="0"/>
      <w:marBottom w:val="0"/>
      <w:divBdr>
        <w:top w:val="none" w:sz="0" w:space="0" w:color="auto"/>
        <w:left w:val="none" w:sz="0" w:space="0" w:color="auto"/>
        <w:bottom w:val="none" w:sz="0" w:space="0" w:color="auto"/>
        <w:right w:val="none" w:sz="0" w:space="0" w:color="auto"/>
      </w:divBdr>
    </w:div>
    <w:div w:id="1995525929">
      <w:bodyDiv w:val="1"/>
      <w:marLeft w:val="0"/>
      <w:marRight w:val="0"/>
      <w:marTop w:val="0"/>
      <w:marBottom w:val="0"/>
      <w:divBdr>
        <w:top w:val="none" w:sz="0" w:space="0" w:color="auto"/>
        <w:left w:val="none" w:sz="0" w:space="0" w:color="auto"/>
        <w:bottom w:val="none" w:sz="0" w:space="0" w:color="auto"/>
        <w:right w:val="none" w:sz="0" w:space="0" w:color="auto"/>
      </w:divBdr>
    </w:div>
    <w:div w:id="2009408703">
      <w:bodyDiv w:val="1"/>
      <w:marLeft w:val="0"/>
      <w:marRight w:val="0"/>
      <w:marTop w:val="0"/>
      <w:marBottom w:val="0"/>
      <w:divBdr>
        <w:top w:val="none" w:sz="0" w:space="0" w:color="auto"/>
        <w:left w:val="none" w:sz="0" w:space="0" w:color="auto"/>
        <w:bottom w:val="none" w:sz="0" w:space="0" w:color="auto"/>
        <w:right w:val="none" w:sz="0" w:space="0" w:color="auto"/>
      </w:divBdr>
    </w:div>
    <w:div w:id="2049599100">
      <w:bodyDiv w:val="1"/>
      <w:marLeft w:val="0"/>
      <w:marRight w:val="0"/>
      <w:marTop w:val="0"/>
      <w:marBottom w:val="0"/>
      <w:divBdr>
        <w:top w:val="none" w:sz="0" w:space="0" w:color="auto"/>
        <w:left w:val="none" w:sz="0" w:space="0" w:color="auto"/>
        <w:bottom w:val="none" w:sz="0" w:space="0" w:color="auto"/>
        <w:right w:val="none" w:sz="0" w:space="0" w:color="auto"/>
      </w:divBdr>
    </w:div>
    <w:div w:id="2078433379">
      <w:bodyDiv w:val="1"/>
      <w:marLeft w:val="0"/>
      <w:marRight w:val="0"/>
      <w:marTop w:val="0"/>
      <w:marBottom w:val="0"/>
      <w:divBdr>
        <w:top w:val="none" w:sz="0" w:space="0" w:color="auto"/>
        <w:left w:val="none" w:sz="0" w:space="0" w:color="auto"/>
        <w:bottom w:val="none" w:sz="0" w:space="0" w:color="auto"/>
        <w:right w:val="none" w:sz="0" w:space="0" w:color="auto"/>
      </w:divBdr>
    </w:div>
    <w:div w:id="2082408098">
      <w:bodyDiv w:val="1"/>
      <w:marLeft w:val="0"/>
      <w:marRight w:val="0"/>
      <w:marTop w:val="0"/>
      <w:marBottom w:val="0"/>
      <w:divBdr>
        <w:top w:val="none" w:sz="0" w:space="0" w:color="auto"/>
        <w:left w:val="none" w:sz="0" w:space="0" w:color="auto"/>
        <w:bottom w:val="none" w:sz="0" w:space="0" w:color="auto"/>
        <w:right w:val="none" w:sz="0" w:space="0" w:color="auto"/>
      </w:divBdr>
    </w:div>
    <w:div w:id="21249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14</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Brosnahan</dc:creator>
  <cp:lastModifiedBy>Rachel Brosnahan</cp:lastModifiedBy>
  <cp:revision>17</cp:revision>
  <cp:lastPrinted>2017-09-21T14:22:00Z</cp:lastPrinted>
  <dcterms:created xsi:type="dcterms:W3CDTF">2018-03-13T16:06:00Z</dcterms:created>
  <dcterms:modified xsi:type="dcterms:W3CDTF">2018-03-14T15:15:00Z</dcterms:modified>
</cp:coreProperties>
</file>