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51188" w14:textId="60793AE6" w:rsidR="00507FAC" w:rsidRPr="00E442D8" w:rsidRDefault="00507FAC" w:rsidP="00E442D8">
      <w:pPr>
        <w:jc w:val="both"/>
      </w:pPr>
      <w:r w:rsidRPr="00E442D8">
        <w:rPr>
          <w:noProof/>
          <w:lang w:eastAsia="en-GB"/>
        </w:rPr>
        <w:drawing>
          <wp:anchor distT="0" distB="0" distL="114300" distR="114300" simplePos="0" relativeHeight="251659264" behindDoc="0" locked="0" layoutInCell="1" allowOverlap="1" wp14:anchorId="0001C91A" wp14:editId="10C2F765">
            <wp:simplePos x="0" y="0"/>
            <wp:positionH relativeFrom="margin">
              <wp:posOffset>2409825</wp:posOffset>
            </wp:positionH>
            <wp:positionV relativeFrom="margin">
              <wp:posOffset>-457200</wp:posOffset>
            </wp:positionV>
            <wp:extent cx="952500" cy="9404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8A1F4" w14:textId="7F69103F" w:rsidR="00507FAC" w:rsidRPr="00E442D8" w:rsidRDefault="00507FAC" w:rsidP="00E442D8">
      <w:pPr>
        <w:jc w:val="both"/>
      </w:pPr>
    </w:p>
    <w:p w14:paraId="094DDC81" w14:textId="77777777" w:rsidR="00507FAC" w:rsidRPr="00E442D8" w:rsidRDefault="00507FAC" w:rsidP="00E442D8">
      <w:pPr>
        <w:jc w:val="both"/>
      </w:pPr>
    </w:p>
    <w:p w14:paraId="2360CBF4" w14:textId="77777777" w:rsidR="00507FAC" w:rsidRPr="00E442D8" w:rsidRDefault="00507FAC" w:rsidP="00E442D8">
      <w:pPr>
        <w:jc w:val="both"/>
      </w:pPr>
    </w:p>
    <w:p w14:paraId="00E4456F" w14:textId="77777777" w:rsidR="00507FAC" w:rsidRPr="00E442D8" w:rsidRDefault="00507FAC" w:rsidP="00E442D8">
      <w:pPr>
        <w:jc w:val="both"/>
      </w:pPr>
    </w:p>
    <w:p w14:paraId="027A70B9" w14:textId="77777777" w:rsidR="00507FAC" w:rsidRPr="00E442D8" w:rsidRDefault="00507FAC" w:rsidP="00E442D8">
      <w:pPr>
        <w:jc w:val="both"/>
      </w:pPr>
    </w:p>
    <w:p w14:paraId="335E430C" w14:textId="04197A66" w:rsidR="002A6096" w:rsidRPr="00E442D8" w:rsidRDefault="002A6096" w:rsidP="00E442D8">
      <w:pPr>
        <w:jc w:val="center"/>
        <w:rPr>
          <w:sz w:val="72"/>
          <w:szCs w:val="72"/>
        </w:rPr>
      </w:pPr>
      <w:r w:rsidRPr="00E442D8">
        <w:rPr>
          <w:sz w:val="72"/>
          <w:szCs w:val="72"/>
        </w:rPr>
        <w:t xml:space="preserve">Cheshire and </w:t>
      </w:r>
      <w:r w:rsidR="00507FAC" w:rsidRPr="00E442D8">
        <w:rPr>
          <w:sz w:val="72"/>
          <w:szCs w:val="72"/>
        </w:rPr>
        <w:t>Warrington</w:t>
      </w:r>
      <w:r w:rsidRPr="00E442D8">
        <w:rPr>
          <w:sz w:val="72"/>
          <w:szCs w:val="72"/>
        </w:rPr>
        <w:t xml:space="preserve"> LEP</w:t>
      </w:r>
    </w:p>
    <w:p w14:paraId="03457912" w14:textId="3C098FA0" w:rsidR="002A6096" w:rsidRPr="00E442D8" w:rsidRDefault="002A6096" w:rsidP="00E442D8">
      <w:pPr>
        <w:jc w:val="center"/>
        <w:rPr>
          <w:sz w:val="72"/>
          <w:szCs w:val="72"/>
        </w:rPr>
      </w:pPr>
      <w:r w:rsidRPr="00E442D8">
        <w:rPr>
          <w:sz w:val="72"/>
          <w:szCs w:val="72"/>
        </w:rPr>
        <w:t>Delivery Plan</w:t>
      </w:r>
    </w:p>
    <w:p w14:paraId="55D7C5FD" w14:textId="4ACCB8ED" w:rsidR="002A6096" w:rsidRPr="00E442D8" w:rsidRDefault="002A6096" w:rsidP="00E442D8">
      <w:pPr>
        <w:jc w:val="center"/>
        <w:rPr>
          <w:sz w:val="72"/>
          <w:szCs w:val="72"/>
        </w:rPr>
      </w:pPr>
      <w:r w:rsidRPr="00E442D8">
        <w:rPr>
          <w:sz w:val="72"/>
          <w:szCs w:val="72"/>
        </w:rPr>
        <w:t>2019/2020</w:t>
      </w:r>
    </w:p>
    <w:p w14:paraId="2ADF289A" w14:textId="4E2560E1" w:rsidR="00507FAC" w:rsidRPr="00E442D8" w:rsidRDefault="00507FAC" w:rsidP="00E442D8">
      <w:pPr>
        <w:jc w:val="both"/>
        <w:rPr>
          <w:sz w:val="72"/>
          <w:szCs w:val="72"/>
        </w:rPr>
      </w:pPr>
    </w:p>
    <w:p w14:paraId="0B0275C7" w14:textId="786D0531" w:rsidR="00507FAC" w:rsidRPr="00E442D8" w:rsidRDefault="00507FAC" w:rsidP="00E442D8">
      <w:pPr>
        <w:jc w:val="both"/>
        <w:rPr>
          <w:sz w:val="72"/>
          <w:szCs w:val="72"/>
        </w:rPr>
      </w:pPr>
      <w:r w:rsidRPr="00E442D8">
        <w:rPr>
          <w:sz w:val="72"/>
          <w:szCs w:val="72"/>
        </w:rPr>
        <w:br w:type="page"/>
      </w:r>
    </w:p>
    <w:p w14:paraId="7C6F4954" w14:textId="25D08B0C" w:rsidR="0084473F" w:rsidRPr="00E442D8" w:rsidRDefault="00C7532A" w:rsidP="00E442D8">
      <w:pPr>
        <w:jc w:val="center"/>
        <w:rPr>
          <w:sz w:val="24"/>
          <w:szCs w:val="24"/>
        </w:rPr>
      </w:pPr>
      <w:r>
        <w:rPr>
          <w:noProof/>
        </w:rPr>
        <w:lastRenderedPageBreak/>
        <w:drawing>
          <wp:inline distT="0" distB="0" distL="0" distR="0" wp14:anchorId="3E6BA9BC" wp14:editId="04CC1F11">
            <wp:extent cx="3370580" cy="84270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0580" cy="8427085"/>
                    </a:xfrm>
                    <a:prstGeom prst="rect">
                      <a:avLst/>
                    </a:prstGeom>
                    <a:noFill/>
                    <a:ln>
                      <a:noFill/>
                    </a:ln>
                  </pic:spPr>
                </pic:pic>
              </a:graphicData>
            </a:graphic>
          </wp:inline>
        </w:drawing>
      </w:r>
      <w:r w:rsidR="0084473F" w:rsidRPr="00E442D8">
        <w:rPr>
          <w:sz w:val="24"/>
          <w:szCs w:val="24"/>
        </w:rPr>
        <w:br w:type="page"/>
      </w:r>
    </w:p>
    <w:sdt>
      <w:sdtPr>
        <w:rPr>
          <w:rFonts w:asciiTheme="minorHAnsi" w:eastAsiaTheme="minorHAnsi" w:hAnsiTheme="minorHAnsi" w:cstheme="minorBidi"/>
          <w:color w:val="auto"/>
          <w:sz w:val="22"/>
          <w:szCs w:val="22"/>
          <w:lang w:val="en-GB"/>
        </w:rPr>
        <w:id w:val="964082222"/>
        <w:docPartObj>
          <w:docPartGallery w:val="Table of Contents"/>
          <w:docPartUnique/>
        </w:docPartObj>
      </w:sdtPr>
      <w:sdtEndPr>
        <w:rPr>
          <w:b/>
          <w:bCs/>
          <w:noProof/>
        </w:rPr>
      </w:sdtEndPr>
      <w:sdtContent>
        <w:p w14:paraId="6A2F5B48" w14:textId="47516103" w:rsidR="004442D3" w:rsidRPr="00E442D8" w:rsidRDefault="004442D3" w:rsidP="00E442D8">
          <w:pPr>
            <w:pStyle w:val="TOCHeading"/>
            <w:jc w:val="both"/>
          </w:pPr>
          <w:r w:rsidRPr="00E442D8">
            <w:t>Table of Contents</w:t>
          </w:r>
        </w:p>
        <w:p w14:paraId="332E894C" w14:textId="0C61E5BF" w:rsidR="008978E0" w:rsidRDefault="004442D3">
          <w:pPr>
            <w:pStyle w:val="TOC1"/>
            <w:tabs>
              <w:tab w:val="left" w:pos="440"/>
              <w:tab w:val="right" w:leader="dot" w:pos="9016"/>
            </w:tabs>
            <w:rPr>
              <w:rFonts w:eastAsiaTheme="minorEastAsia"/>
              <w:noProof/>
              <w:lang w:eastAsia="en-GB"/>
            </w:rPr>
          </w:pPr>
          <w:r w:rsidRPr="00E442D8">
            <w:rPr>
              <w:rFonts w:asciiTheme="majorHAnsi" w:hAnsiTheme="majorHAnsi" w:cstheme="majorHAnsi"/>
              <w:b/>
              <w:bCs/>
              <w:noProof/>
            </w:rPr>
            <w:fldChar w:fldCharType="begin"/>
          </w:r>
          <w:r w:rsidRPr="00E442D8">
            <w:rPr>
              <w:rFonts w:asciiTheme="majorHAnsi" w:hAnsiTheme="majorHAnsi" w:cstheme="majorHAnsi"/>
              <w:b/>
              <w:bCs/>
              <w:noProof/>
            </w:rPr>
            <w:instrText xml:space="preserve"> TOC \o "1-3" \h \z \u </w:instrText>
          </w:r>
          <w:r w:rsidRPr="00E442D8">
            <w:rPr>
              <w:rFonts w:asciiTheme="majorHAnsi" w:hAnsiTheme="majorHAnsi" w:cstheme="majorHAnsi"/>
              <w:b/>
              <w:bCs/>
              <w:noProof/>
            </w:rPr>
            <w:fldChar w:fldCharType="separate"/>
          </w:r>
          <w:hyperlink w:anchor="_Toc8293850" w:history="1">
            <w:r w:rsidR="008978E0" w:rsidRPr="009A2A88">
              <w:rPr>
                <w:rStyle w:val="Hyperlink"/>
                <w:noProof/>
              </w:rPr>
              <w:t>1.</w:t>
            </w:r>
            <w:r w:rsidR="008978E0">
              <w:rPr>
                <w:rFonts w:eastAsiaTheme="minorEastAsia"/>
                <w:noProof/>
                <w:lang w:eastAsia="en-GB"/>
              </w:rPr>
              <w:tab/>
            </w:r>
            <w:r w:rsidR="008978E0" w:rsidRPr="009A2A88">
              <w:rPr>
                <w:rStyle w:val="Hyperlink"/>
                <w:noProof/>
              </w:rPr>
              <w:t>Executive Summary</w:t>
            </w:r>
            <w:r w:rsidR="008978E0">
              <w:rPr>
                <w:noProof/>
                <w:webHidden/>
              </w:rPr>
              <w:tab/>
            </w:r>
            <w:r w:rsidR="008978E0">
              <w:rPr>
                <w:noProof/>
                <w:webHidden/>
              </w:rPr>
              <w:fldChar w:fldCharType="begin"/>
            </w:r>
            <w:r w:rsidR="008978E0">
              <w:rPr>
                <w:noProof/>
                <w:webHidden/>
              </w:rPr>
              <w:instrText xml:space="preserve"> PAGEREF _Toc8293850 \h </w:instrText>
            </w:r>
            <w:r w:rsidR="008978E0">
              <w:rPr>
                <w:noProof/>
                <w:webHidden/>
              </w:rPr>
            </w:r>
            <w:r w:rsidR="008978E0">
              <w:rPr>
                <w:noProof/>
                <w:webHidden/>
              </w:rPr>
              <w:fldChar w:fldCharType="separate"/>
            </w:r>
            <w:r w:rsidR="001675BD">
              <w:rPr>
                <w:noProof/>
                <w:webHidden/>
              </w:rPr>
              <w:t>4</w:t>
            </w:r>
            <w:r w:rsidR="008978E0">
              <w:rPr>
                <w:noProof/>
                <w:webHidden/>
              </w:rPr>
              <w:fldChar w:fldCharType="end"/>
            </w:r>
          </w:hyperlink>
        </w:p>
        <w:p w14:paraId="1B560214" w14:textId="5C115D9B" w:rsidR="008978E0" w:rsidRDefault="00B1667C">
          <w:pPr>
            <w:pStyle w:val="TOC1"/>
            <w:tabs>
              <w:tab w:val="left" w:pos="440"/>
              <w:tab w:val="right" w:leader="dot" w:pos="9016"/>
            </w:tabs>
            <w:rPr>
              <w:rFonts w:eastAsiaTheme="minorEastAsia"/>
              <w:noProof/>
              <w:lang w:eastAsia="en-GB"/>
            </w:rPr>
          </w:pPr>
          <w:hyperlink w:anchor="_Toc8293851" w:history="1">
            <w:r w:rsidR="008978E0" w:rsidRPr="009A2A88">
              <w:rPr>
                <w:rStyle w:val="Hyperlink"/>
                <w:noProof/>
              </w:rPr>
              <w:t>2.</w:t>
            </w:r>
            <w:r w:rsidR="008978E0">
              <w:rPr>
                <w:rFonts w:eastAsiaTheme="minorEastAsia"/>
                <w:noProof/>
                <w:lang w:eastAsia="en-GB"/>
              </w:rPr>
              <w:tab/>
            </w:r>
            <w:r w:rsidR="008978E0" w:rsidRPr="009A2A88">
              <w:rPr>
                <w:rStyle w:val="Hyperlink"/>
                <w:noProof/>
              </w:rPr>
              <w:t>Introduction</w:t>
            </w:r>
            <w:r w:rsidR="008978E0">
              <w:rPr>
                <w:noProof/>
                <w:webHidden/>
              </w:rPr>
              <w:tab/>
            </w:r>
            <w:r w:rsidR="008978E0">
              <w:rPr>
                <w:noProof/>
                <w:webHidden/>
              </w:rPr>
              <w:fldChar w:fldCharType="begin"/>
            </w:r>
            <w:r w:rsidR="008978E0">
              <w:rPr>
                <w:noProof/>
                <w:webHidden/>
              </w:rPr>
              <w:instrText xml:space="preserve"> PAGEREF _Toc8293851 \h </w:instrText>
            </w:r>
            <w:r w:rsidR="008978E0">
              <w:rPr>
                <w:noProof/>
                <w:webHidden/>
              </w:rPr>
            </w:r>
            <w:r w:rsidR="008978E0">
              <w:rPr>
                <w:noProof/>
                <w:webHidden/>
              </w:rPr>
              <w:fldChar w:fldCharType="separate"/>
            </w:r>
            <w:r w:rsidR="001675BD">
              <w:rPr>
                <w:noProof/>
                <w:webHidden/>
              </w:rPr>
              <w:t>4</w:t>
            </w:r>
            <w:r w:rsidR="008978E0">
              <w:rPr>
                <w:noProof/>
                <w:webHidden/>
              </w:rPr>
              <w:fldChar w:fldCharType="end"/>
            </w:r>
          </w:hyperlink>
        </w:p>
        <w:p w14:paraId="4D9A6818" w14:textId="52005A80" w:rsidR="008978E0" w:rsidRDefault="00B1667C">
          <w:pPr>
            <w:pStyle w:val="TOC1"/>
            <w:tabs>
              <w:tab w:val="left" w:pos="440"/>
              <w:tab w:val="right" w:leader="dot" w:pos="9016"/>
            </w:tabs>
            <w:rPr>
              <w:rFonts w:eastAsiaTheme="minorEastAsia"/>
              <w:noProof/>
              <w:lang w:eastAsia="en-GB"/>
            </w:rPr>
          </w:pPr>
          <w:hyperlink w:anchor="_Toc8293852" w:history="1">
            <w:r w:rsidR="008978E0" w:rsidRPr="009A2A88">
              <w:rPr>
                <w:rStyle w:val="Hyperlink"/>
                <w:noProof/>
              </w:rPr>
              <w:t>3.</w:t>
            </w:r>
            <w:r w:rsidR="008978E0">
              <w:rPr>
                <w:rFonts w:eastAsiaTheme="minorEastAsia"/>
                <w:noProof/>
                <w:lang w:eastAsia="en-GB"/>
              </w:rPr>
              <w:tab/>
            </w:r>
            <w:r w:rsidR="008978E0" w:rsidRPr="009A2A88">
              <w:rPr>
                <w:rStyle w:val="Hyperlink"/>
                <w:noProof/>
              </w:rPr>
              <w:t>Strategy</w:t>
            </w:r>
            <w:r w:rsidR="008978E0">
              <w:rPr>
                <w:noProof/>
                <w:webHidden/>
              </w:rPr>
              <w:tab/>
            </w:r>
            <w:r w:rsidR="008978E0">
              <w:rPr>
                <w:noProof/>
                <w:webHidden/>
              </w:rPr>
              <w:fldChar w:fldCharType="begin"/>
            </w:r>
            <w:r w:rsidR="008978E0">
              <w:rPr>
                <w:noProof/>
                <w:webHidden/>
              </w:rPr>
              <w:instrText xml:space="preserve"> PAGEREF _Toc8293852 \h </w:instrText>
            </w:r>
            <w:r w:rsidR="008978E0">
              <w:rPr>
                <w:noProof/>
                <w:webHidden/>
              </w:rPr>
            </w:r>
            <w:r w:rsidR="008978E0">
              <w:rPr>
                <w:noProof/>
                <w:webHidden/>
              </w:rPr>
              <w:fldChar w:fldCharType="separate"/>
            </w:r>
            <w:r w:rsidR="001675BD">
              <w:rPr>
                <w:noProof/>
                <w:webHidden/>
              </w:rPr>
              <w:t>4</w:t>
            </w:r>
            <w:r w:rsidR="008978E0">
              <w:rPr>
                <w:noProof/>
                <w:webHidden/>
              </w:rPr>
              <w:fldChar w:fldCharType="end"/>
            </w:r>
          </w:hyperlink>
        </w:p>
        <w:p w14:paraId="37984EB7" w14:textId="01F8C988" w:rsidR="008978E0" w:rsidRDefault="00B1667C">
          <w:pPr>
            <w:pStyle w:val="TOC1"/>
            <w:tabs>
              <w:tab w:val="left" w:pos="660"/>
              <w:tab w:val="right" w:leader="dot" w:pos="9016"/>
            </w:tabs>
            <w:rPr>
              <w:rFonts w:eastAsiaTheme="minorEastAsia"/>
              <w:noProof/>
              <w:lang w:eastAsia="en-GB"/>
            </w:rPr>
          </w:pPr>
          <w:hyperlink w:anchor="_Toc8293853" w:history="1">
            <w:r w:rsidR="008978E0" w:rsidRPr="009A2A88">
              <w:rPr>
                <w:rStyle w:val="Hyperlink"/>
                <w:rFonts w:eastAsia="Times New Roman"/>
                <w:noProof/>
              </w:rPr>
              <w:t>3.1.</w:t>
            </w:r>
            <w:r w:rsidR="008978E0">
              <w:rPr>
                <w:rFonts w:eastAsiaTheme="minorEastAsia"/>
                <w:noProof/>
                <w:lang w:eastAsia="en-GB"/>
              </w:rPr>
              <w:tab/>
            </w:r>
            <w:r w:rsidR="008978E0" w:rsidRPr="009A2A88">
              <w:rPr>
                <w:rStyle w:val="Hyperlink"/>
                <w:rFonts w:eastAsia="Times New Roman"/>
                <w:noProof/>
              </w:rPr>
              <w:t>Strategic Economic Plan</w:t>
            </w:r>
            <w:r w:rsidR="008978E0">
              <w:rPr>
                <w:noProof/>
                <w:webHidden/>
              </w:rPr>
              <w:tab/>
            </w:r>
            <w:r w:rsidR="008978E0">
              <w:rPr>
                <w:noProof/>
                <w:webHidden/>
              </w:rPr>
              <w:fldChar w:fldCharType="begin"/>
            </w:r>
            <w:r w:rsidR="008978E0">
              <w:rPr>
                <w:noProof/>
                <w:webHidden/>
              </w:rPr>
              <w:instrText xml:space="preserve"> PAGEREF _Toc8293853 \h </w:instrText>
            </w:r>
            <w:r w:rsidR="008978E0">
              <w:rPr>
                <w:noProof/>
                <w:webHidden/>
              </w:rPr>
            </w:r>
            <w:r w:rsidR="008978E0">
              <w:rPr>
                <w:noProof/>
                <w:webHidden/>
              </w:rPr>
              <w:fldChar w:fldCharType="separate"/>
            </w:r>
            <w:r w:rsidR="001675BD">
              <w:rPr>
                <w:noProof/>
                <w:webHidden/>
              </w:rPr>
              <w:t>4</w:t>
            </w:r>
            <w:r w:rsidR="008978E0">
              <w:rPr>
                <w:noProof/>
                <w:webHidden/>
              </w:rPr>
              <w:fldChar w:fldCharType="end"/>
            </w:r>
          </w:hyperlink>
        </w:p>
        <w:p w14:paraId="69108ED5" w14:textId="0E2DCD0E" w:rsidR="008978E0" w:rsidRDefault="00B1667C">
          <w:pPr>
            <w:pStyle w:val="TOC1"/>
            <w:tabs>
              <w:tab w:val="left" w:pos="660"/>
              <w:tab w:val="right" w:leader="dot" w:pos="9016"/>
            </w:tabs>
            <w:rPr>
              <w:rFonts w:eastAsiaTheme="minorEastAsia"/>
              <w:noProof/>
              <w:lang w:eastAsia="en-GB"/>
            </w:rPr>
          </w:pPr>
          <w:hyperlink w:anchor="_Toc8293854" w:history="1">
            <w:r w:rsidR="008978E0" w:rsidRPr="009A2A88">
              <w:rPr>
                <w:rStyle w:val="Hyperlink"/>
                <w:rFonts w:eastAsia="Times New Roman"/>
                <w:noProof/>
              </w:rPr>
              <w:t>3.2.</w:t>
            </w:r>
            <w:r w:rsidR="008978E0">
              <w:rPr>
                <w:rFonts w:eastAsiaTheme="minorEastAsia"/>
                <w:noProof/>
                <w:lang w:eastAsia="en-GB"/>
              </w:rPr>
              <w:tab/>
            </w:r>
            <w:r w:rsidR="008978E0" w:rsidRPr="009A2A88">
              <w:rPr>
                <w:rStyle w:val="Hyperlink"/>
                <w:rFonts w:eastAsia="Times New Roman"/>
                <w:noProof/>
              </w:rPr>
              <w:t>Local Industrial Strategy</w:t>
            </w:r>
            <w:r w:rsidR="008978E0">
              <w:rPr>
                <w:noProof/>
                <w:webHidden/>
              </w:rPr>
              <w:tab/>
            </w:r>
            <w:r w:rsidR="008978E0">
              <w:rPr>
                <w:noProof/>
                <w:webHidden/>
              </w:rPr>
              <w:fldChar w:fldCharType="begin"/>
            </w:r>
            <w:r w:rsidR="008978E0">
              <w:rPr>
                <w:noProof/>
                <w:webHidden/>
              </w:rPr>
              <w:instrText xml:space="preserve"> PAGEREF _Toc8293854 \h </w:instrText>
            </w:r>
            <w:r w:rsidR="008978E0">
              <w:rPr>
                <w:noProof/>
                <w:webHidden/>
              </w:rPr>
            </w:r>
            <w:r w:rsidR="008978E0">
              <w:rPr>
                <w:noProof/>
                <w:webHidden/>
              </w:rPr>
              <w:fldChar w:fldCharType="separate"/>
            </w:r>
            <w:r w:rsidR="001675BD">
              <w:rPr>
                <w:noProof/>
                <w:webHidden/>
              </w:rPr>
              <w:t>4</w:t>
            </w:r>
            <w:r w:rsidR="008978E0">
              <w:rPr>
                <w:noProof/>
                <w:webHidden/>
              </w:rPr>
              <w:fldChar w:fldCharType="end"/>
            </w:r>
          </w:hyperlink>
        </w:p>
        <w:p w14:paraId="3B445EBD" w14:textId="09C2B856" w:rsidR="008978E0" w:rsidRDefault="00B1667C">
          <w:pPr>
            <w:pStyle w:val="TOC1"/>
            <w:tabs>
              <w:tab w:val="left" w:pos="660"/>
              <w:tab w:val="right" w:leader="dot" w:pos="9016"/>
            </w:tabs>
            <w:rPr>
              <w:rFonts w:eastAsiaTheme="minorEastAsia"/>
              <w:noProof/>
              <w:lang w:eastAsia="en-GB"/>
            </w:rPr>
          </w:pPr>
          <w:hyperlink w:anchor="_Toc8293855" w:history="1">
            <w:r w:rsidR="008978E0" w:rsidRPr="009A2A88">
              <w:rPr>
                <w:rStyle w:val="Hyperlink"/>
                <w:rFonts w:eastAsia="Times New Roman"/>
                <w:noProof/>
              </w:rPr>
              <w:t>3.3.</w:t>
            </w:r>
            <w:r w:rsidR="008978E0">
              <w:rPr>
                <w:rFonts w:eastAsiaTheme="minorEastAsia"/>
                <w:noProof/>
                <w:lang w:eastAsia="en-GB"/>
              </w:rPr>
              <w:tab/>
            </w:r>
            <w:r w:rsidR="008978E0" w:rsidRPr="009A2A88">
              <w:rPr>
                <w:rStyle w:val="Hyperlink"/>
                <w:rFonts w:eastAsia="Times New Roman"/>
                <w:noProof/>
              </w:rPr>
              <w:t>Key Strategy Delivery Actions for 19/20</w:t>
            </w:r>
            <w:r w:rsidR="008978E0">
              <w:rPr>
                <w:noProof/>
                <w:webHidden/>
              </w:rPr>
              <w:tab/>
            </w:r>
            <w:r w:rsidR="008978E0">
              <w:rPr>
                <w:noProof/>
                <w:webHidden/>
              </w:rPr>
              <w:fldChar w:fldCharType="begin"/>
            </w:r>
            <w:r w:rsidR="008978E0">
              <w:rPr>
                <w:noProof/>
                <w:webHidden/>
              </w:rPr>
              <w:instrText xml:space="preserve"> PAGEREF _Toc8293855 \h </w:instrText>
            </w:r>
            <w:r w:rsidR="008978E0">
              <w:rPr>
                <w:noProof/>
                <w:webHidden/>
              </w:rPr>
            </w:r>
            <w:r w:rsidR="008978E0">
              <w:rPr>
                <w:noProof/>
                <w:webHidden/>
              </w:rPr>
              <w:fldChar w:fldCharType="separate"/>
            </w:r>
            <w:r w:rsidR="001675BD">
              <w:rPr>
                <w:noProof/>
                <w:webHidden/>
              </w:rPr>
              <w:t>5</w:t>
            </w:r>
            <w:r w:rsidR="008978E0">
              <w:rPr>
                <w:noProof/>
                <w:webHidden/>
              </w:rPr>
              <w:fldChar w:fldCharType="end"/>
            </w:r>
          </w:hyperlink>
        </w:p>
        <w:p w14:paraId="48F35EF0" w14:textId="767D5777" w:rsidR="008978E0" w:rsidRDefault="00B1667C">
          <w:pPr>
            <w:pStyle w:val="TOC1"/>
            <w:tabs>
              <w:tab w:val="left" w:pos="660"/>
              <w:tab w:val="right" w:leader="dot" w:pos="9016"/>
            </w:tabs>
            <w:rPr>
              <w:rFonts w:eastAsiaTheme="minorEastAsia"/>
              <w:noProof/>
              <w:lang w:eastAsia="en-GB"/>
            </w:rPr>
          </w:pPr>
          <w:hyperlink w:anchor="_Toc8293856" w:history="1">
            <w:r w:rsidR="008978E0" w:rsidRPr="009A2A88">
              <w:rPr>
                <w:rStyle w:val="Hyperlink"/>
                <w:noProof/>
              </w:rPr>
              <w:t>3.4.</w:t>
            </w:r>
            <w:r w:rsidR="008978E0">
              <w:rPr>
                <w:rFonts w:eastAsiaTheme="minorEastAsia"/>
                <w:noProof/>
                <w:lang w:eastAsia="en-GB"/>
              </w:rPr>
              <w:tab/>
            </w:r>
            <w:r w:rsidR="008978E0" w:rsidRPr="009A2A88">
              <w:rPr>
                <w:rStyle w:val="Hyperlink"/>
                <w:noProof/>
              </w:rPr>
              <w:t>Overview of LEP Governance</w:t>
            </w:r>
            <w:r w:rsidR="008978E0">
              <w:rPr>
                <w:noProof/>
                <w:webHidden/>
              </w:rPr>
              <w:tab/>
            </w:r>
            <w:r w:rsidR="008978E0">
              <w:rPr>
                <w:noProof/>
                <w:webHidden/>
              </w:rPr>
              <w:fldChar w:fldCharType="begin"/>
            </w:r>
            <w:r w:rsidR="008978E0">
              <w:rPr>
                <w:noProof/>
                <w:webHidden/>
              </w:rPr>
              <w:instrText xml:space="preserve"> PAGEREF _Toc8293856 \h </w:instrText>
            </w:r>
            <w:r w:rsidR="008978E0">
              <w:rPr>
                <w:noProof/>
                <w:webHidden/>
              </w:rPr>
            </w:r>
            <w:r w:rsidR="008978E0">
              <w:rPr>
                <w:noProof/>
                <w:webHidden/>
              </w:rPr>
              <w:fldChar w:fldCharType="separate"/>
            </w:r>
            <w:r w:rsidR="001675BD">
              <w:rPr>
                <w:noProof/>
                <w:webHidden/>
              </w:rPr>
              <w:t>14</w:t>
            </w:r>
            <w:r w:rsidR="008978E0">
              <w:rPr>
                <w:noProof/>
                <w:webHidden/>
              </w:rPr>
              <w:fldChar w:fldCharType="end"/>
            </w:r>
          </w:hyperlink>
        </w:p>
        <w:p w14:paraId="3B8DF4B4" w14:textId="02DE0C26" w:rsidR="008978E0" w:rsidRDefault="00B1667C">
          <w:pPr>
            <w:pStyle w:val="TOC1"/>
            <w:tabs>
              <w:tab w:val="left" w:pos="660"/>
              <w:tab w:val="right" w:leader="dot" w:pos="9016"/>
            </w:tabs>
            <w:rPr>
              <w:rFonts w:eastAsiaTheme="minorEastAsia"/>
              <w:noProof/>
              <w:lang w:eastAsia="en-GB"/>
            </w:rPr>
          </w:pPr>
          <w:hyperlink w:anchor="_Toc8293857" w:history="1">
            <w:r w:rsidR="008978E0" w:rsidRPr="009A2A88">
              <w:rPr>
                <w:rStyle w:val="Hyperlink"/>
                <w:noProof/>
              </w:rPr>
              <w:t>3.5.</w:t>
            </w:r>
            <w:r w:rsidR="008978E0">
              <w:rPr>
                <w:rFonts w:eastAsiaTheme="minorEastAsia"/>
                <w:noProof/>
                <w:lang w:eastAsia="en-GB"/>
              </w:rPr>
              <w:tab/>
            </w:r>
            <w:r w:rsidR="008978E0" w:rsidRPr="009A2A88">
              <w:rPr>
                <w:rStyle w:val="Hyperlink"/>
                <w:noProof/>
              </w:rPr>
              <w:t>Governance Key Actions for 2019/20</w:t>
            </w:r>
            <w:r w:rsidR="008978E0">
              <w:rPr>
                <w:noProof/>
                <w:webHidden/>
              </w:rPr>
              <w:tab/>
            </w:r>
            <w:r w:rsidR="008978E0">
              <w:rPr>
                <w:noProof/>
                <w:webHidden/>
              </w:rPr>
              <w:fldChar w:fldCharType="begin"/>
            </w:r>
            <w:r w:rsidR="008978E0">
              <w:rPr>
                <w:noProof/>
                <w:webHidden/>
              </w:rPr>
              <w:instrText xml:space="preserve"> PAGEREF _Toc8293857 \h </w:instrText>
            </w:r>
            <w:r w:rsidR="008978E0">
              <w:rPr>
                <w:noProof/>
                <w:webHidden/>
              </w:rPr>
            </w:r>
            <w:r w:rsidR="008978E0">
              <w:rPr>
                <w:noProof/>
                <w:webHidden/>
              </w:rPr>
              <w:fldChar w:fldCharType="separate"/>
            </w:r>
            <w:r w:rsidR="001675BD">
              <w:rPr>
                <w:noProof/>
                <w:webHidden/>
              </w:rPr>
              <w:t>14</w:t>
            </w:r>
            <w:r w:rsidR="008978E0">
              <w:rPr>
                <w:noProof/>
                <w:webHidden/>
              </w:rPr>
              <w:fldChar w:fldCharType="end"/>
            </w:r>
          </w:hyperlink>
        </w:p>
        <w:p w14:paraId="4FF17D39" w14:textId="4D9068FF" w:rsidR="008978E0" w:rsidRDefault="00B1667C">
          <w:pPr>
            <w:pStyle w:val="TOC1"/>
            <w:tabs>
              <w:tab w:val="left" w:pos="440"/>
              <w:tab w:val="right" w:leader="dot" w:pos="9016"/>
            </w:tabs>
            <w:rPr>
              <w:rFonts w:eastAsiaTheme="minorEastAsia"/>
              <w:noProof/>
              <w:lang w:eastAsia="en-GB"/>
            </w:rPr>
          </w:pPr>
          <w:hyperlink w:anchor="_Toc8293858" w:history="1">
            <w:r w:rsidR="008978E0" w:rsidRPr="009A2A88">
              <w:rPr>
                <w:rStyle w:val="Hyperlink"/>
                <w:noProof/>
              </w:rPr>
              <w:t>4.</w:t>
            </w:r>
            <w:r w:rsidR="008978E0">
              <w:rPr>
                <w:rFonts w:eastAsiaTheme="minorEastAsia"/>
                <w:noProof/>
                <w:lang w:eastAsia="en-GB"/>
              </w:rPr>
              <w:tab/>
            </w:r>
            <w:r w:rsidR="008978E0" w:rsidRPr="009A2A88">
              <w:rPr>
                <w:rStyle w:val="Hyperlink"/>
                <w:noProof/>
              </w:rPr>
              <w:t>Delivery in 19/20</w:t>
            </w:r>
            <w:r w:rsidR="008978E0">
              <w:rPr>
                <w:noProof/>
                <w:webHidden/>
              </w:rPr>
              <w:tab/>
            </w:r>
            <w:r w:rsidR="008978E0">
              <w:rPr>
                <w:noProof/>
                <w:webHidden/>
              </w:rPr>
              <w:fldChar w:fldCharType="begin"/>
            </w:r>
            <w:r w:rsidR="008978E0">
              <w:rPr>
                <w:noProof/>
                <w:webHidden/>
              </w:rPr>
              <w:instrText xml:space="preserve"> PAGEREF _Toc8293858 \h </w:instrText>
            </w:r>
            <w:r w:rsidR="008978E0">
              <w:rPr>
                <w:noProof/>
                <w:webHidden/>
              </w:rPr>
            </w:r>
            <w:r w:rsidR="008978E0">
              <w:rPr>
                <w:noProof/>
                <w:webHidden/>
              </w:rPr>
              <w:fldChar w:fldCharType="separate"/>
            </w:r>
            <w:r w:rsidR="001675BD">
              <w:rPr>
                <w:noProof/>
                <w:webHidden/>
              </w:rPr>
              <w:t>5</w:t>
            </w:r>
            <w:r w:rsidR="008978E0">
              <w:rPr>
                <w:noProof/>
                <w:webHidden/>
              </w:rPr>
              <w:fldChar w:fldCharType="end"/>
            </w:r>
          </w:hyperlink>
        </w:p>
        <w:p w14:paraId="7E5DD9C2" w14:textId="1061E5CB" w:rsidR="008978E0" w:rsidRDefault="00B1667C">
          <w:pPr>
            <w:pStyle w:val="TOC1"/>
            <w:tabs>
              <w:tab w:val="left" w:pos="660"/>
              <w:tab w:val="right" w:leader="dot" w:pos="9016"/>
            </w:tabs>
            <w:rPr>
              <w:rFonts w:eastAsiaTheme="minorEastAsia"/>
              <w:noProof/>
              <w:lang w:eastAsia="en-GB"/>
            </w:rPr>
          </w:pPr>
          <w:hyperlink w:anchor="_Toc8293859" w:history="1">
            <w:r w:rsidR="008978E0" w:rsidRPr="009A2A88">
              <w:rPr>
                <w:rStyle w:val="Hyperlink"/>
                <w:noProof/>
              </w:rPr>
              <w:t>4.1.</w:t>
            </w:r>
            <w:r w:rsidR="008978E0">
              <w:rPr>
                <w:rFonts w:eastAsiaTheme="minorEastAsia"/>
                <w:noProof/>
                <w:lang w:eastAsia="en-GB"/>
              </w:rPr>
              <w:tab/>
            </w:r>
            <w:r w:rsidR="008978E0" w:rsidRPr="009A2A88">
              <w:rPr>
                <w:rStyle w:val="Hyperlink"/>
                <w:noProof/>
              </w:rPr>
              <w:t>Resources</w:t>
            </w:r>
            <w:r w:rsidR="008978E0">
              <w:rPr>
                <w:noProof/>
                <w:webHidden/>
              </w:rPr>
              <w:tab/>
            </w:r>
            <w:r w:rsidR="008978E0">
              <w:rPr>
                <w:noProof/>
                <w:webHidden/>
              </w:rPr>
              <w:fldChar w:fldCharType="begin"/>
            </w:r>
            <w:r w:rsidR="008978E0">
              <w:rPr>
                <w:noProof/>
                <w:webHidden/>
              </w:rPr>
              <w:instrText xml:space="preserve"> PAGEREF _Toc8293859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7177D073" w14:textId="6B740D33" w:rsidR="008978E0" w:rsidRDefault="00B1667C">
          <w:pPr>
            <w:pStyle w:val="TOC1"/>
            <w:tabs>
              <w:tab w:val="left" w:pos="880"/>
              <w:tab w:val="right" w:leader="dot" w:pos="9016"/>
            </w:tabs>
            <w:rPr>
              <w:rFonts w:eastAsiaTheme="minorEastAsia"/>
              <w:noProof/>
              <w:lang w:eastAsia="en-GB"/>
            </w:rPr>
          </w:pPr>
          <w:hyperlink w:anchor="_Toc8293860" w:history="1">
            <w:r w:rsidR="008978E0" w:rsidRPr="009A2A88">
              <w:rPr>
                <w:rStyle w:val="Hyperlink"/>
                <w:noProof/>
              </w:rPr>
              <w:t>4.1.1.</w:t>
            </w:r>
            <w:r w:rsidR="008978E0">
              <w:rPr>
                <w:rFonts w:eastAsiaTheme="minorEastAsia"/>
                <w:noProof/>
                <w:lang w:eastAsia="en-GB"/>
              </w:rPr>
              <w:tab/>
            </w:r>
            <w:r w:rsidR="008978E0" w:rsidRPr="009A2A88">
              <w:rPr>
                <w:rStyle w:val="Hyperlink"/>
                <w:noProof/>
              </w:rPr>
              <w:t>Resources Key Actions for 19/20</w:t>
            </w:r>
            <w:r w:rsidR="008978E0">
              <w:rPr>
                <w:noProof/>
                <w:webHidden/>
              </w:rPr>
              <w:tab/>
            </w:r>
            <w:r w:rsidR="008978E0">
              <w:rPr>
                <w:noProof/>
                <w:webHidden/>
              </w:rPr>
              <w:fldChar w:fldCharType="begin"/>
            </w:r>
            <w:r w:rsidR="008978E0">
              <w:rPr>
                <w:noProof/>
                <w:webHidden/>
              </w:rPr>
              <w:instrText xml:space="preserve"> PAGEREF _Toc8293860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1C84B80D" w14:textId="77A5E767" w:rsidR="008978E0" w:rsidRDefault="00B1667C">
          <w:pPr>
            <w:pStyle w:val="TOC1"/>
            <w:tabs>
              <w:tab w:val="left" w:pos="660"/>
              <w:tab w:val="right" w:leader="dot" w:pos="9016"/>
            </w:tabs>
            <w:rPr>
              <w:rFonts w:eastAsiaTheme="minorEastAsia"/>
              <w:noProof/>
              <w:lang w:eastAsia="en-GB"/>
            </w:rPr>
          </w:pPr>
          <w:hyperlink w:anchor="_Toc8293861" w:history="1">
            <w:r w:rsidR="008978E0" w:rsidRPr="009A2A88">
              <w:rPr>
                <w:rStyle w:val="Hyperlink"/>
                <w:noProof/>
              </w:rPr>
              <w:t>4.2.</w:t>
            </w:r>
            <w:r w:rsidR="008978E0">
              <w:rPr>
                <w:rFonts w:eastAsiaTheme="minorEastAsia"/>
                <w:noProof/>
                <w:lang w:eastAsia="en-GB"/>
              </w:rPr>
              <w:tab/>
            </w:r>
            <w:r w:rsidR="008978E0" w:rsidRPr="009A2A88">
              <w:rPr>
                <w:rStyle w:val="Hyperlink"/>
                <w:noProof/>
              </w:rPr>
              <w:t>Delivery</w:t>
            </w:r>
            <w:r w:rsidR="008978E0">
              <w:rPr>
                <w:noProof/>
                <w:webHidden/>
              </w:rPr>
              <w:tab/>
            </w:r>
            <w:r w:rsidR="008978E0">
              <w:rPr>
                <w:noProof/>
                <w:webHidden/>
              </w:rPr>
              <w:fldChar w:fldCharType="begin"/>
            </w:r>
            <w:r w:rsidR="008978E0">
              <w:rPr>
                <w:noProof/>
                <w:webHidden/>
              </w:rPr>
              <w:instrText xml:space="preserve"> PAGEREF _Toc8293861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2A959055" w14:textId="73FFCCC2" w:rsidR="008978E0" w:rsidRDefault="00B1667C">
          <w:pPr>
            <w:pStyle w:val="TOC1"/>
            <w:tabs>
              <w:tab w:val="left" w:pos="880"/>
              <w:tab w:val="right" w:leader="dot" w:pos="9016"/>
            </w:tabs>
            <w:rPr>
              <w:rFonts w:eastAsiaTheme="minorEastAsia"/>
              <w:noProof/>
              <w:lang w:eastAsia="en-GB"/>
            </w:rPr>
          </w:pPr>
          <w:hyperlink w:anchor="_Toc8293862" w:history="1">
            <w:r w:rsidR="008978E0" w:rsidRPr="009A2A88">
              <w:rPr>
                <w:rStyle w:val="Hyperlink"/>
                <w:noProof/>
              </w:rPr>
              <w:t>4.2.1.</w:t>
            </w:r>
            <w:r w:rsidR="008978E0">
              <w:rPr>
                <w:rFonts w:eastAsiaTheme="minorEastAsia"/>
                <w:noProof/>
                <w:lang w:eastAsia="en-GB"/>
              </w:rPr>
              <w:tab/>
            </w:r>
            <w:r w:rsidR="008978E0" w:rsidRPr="009A2A88">
              <w:rPr>
                <w:rStyle w:val="Hyperlink"/>
                <w:noProof/>
              </w:rPr>
              <w:t>Skills</w:t>
            </w:r>
            <w:r w:rsidR="008978E0">
              <w:rPr>
                <w:noProof/>
                <w:webHidden/>
              </w:rPr>
              <w:tab/>
            </w:r>
            <w:r w:rsidR="008978E0">
              <w:rPr>
                <w:noProof/>
                <w:webHidden/>
              </w:rPr>
              <w:fldChar w:fldCharType="begin"/>
            </w:r>
            <w:r w:rsidR="008978E0">
              <w:rPr>
                <w:noProof/>
                <w:webHidden/>
              </w:rPr>
              <w:instrText xml:space="preserve"> PAGEREF _Toc8293862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46CEDCE7" w14:textId="58F921AE" w:rsidR="008978E0" w:rsidRDefault="00B1667C">
          <w:pPr>
            <w:pStyle w:val="TOC1"/>
            <w:tabs>
              <w:tab w:val="left" w:pos="880"/>
              <w:tab w:val="right" w:leader="dot" w:pos="9016"/>
            </w:tabs>
            <w:rPr>
              <w:rFonts w:eastAsiaTheme="minorEastAsia"/>
              <w:noProof/>
              <w:lang w:eastAsia="en-GB"/>
            </w:rPr>
          </w:pPr>
          <w:hyperlink w:anchor="_Toc8293863" w:history="1">
            <w:r w:rsidR="008978E0" w:rsidRPr="009A2A88">
              <w:rPr>
                <w:rStyle w:val="Hyperlink"/>
                <w:noProof/>
              </w:rPr>
              <w:t>4.2.2.</w:t>
            </w:r>
            <w:r w:rsidR="008978E0">
              <w:rPr>
                <w:rFonts w:eastAsiaTheme="minorEastAsia"/>
                <w:noProof/>
                <w:lang w:eastAsia="en-GB"/>
              </w:rPr>
              <w:tab/>
            </w:r>
            <w:r w:rsidR="008978E0" w:rsidRPr="009A2A88">
              <w:rPr>
                <w:rStyle w:val="Hyperlink"/>
                <w:noProof/>
              </w:rPr>
              <w:t>Pledge Network</w:t>
            </w:r>
            <w:r w:rsidR="008978E0">
              <w:rPr>
                <w:noProof/>
                <w:webHidden/>
              </w:rPr>
              <w:tab/>
            </w:r>
            <w:r w:rsidR="008978E0">
              <w:rPr>
                <w:noProof/>
                <w:webHidden/>
              </w:rPr>
              <w:fldChar w:fldCharType="begin"/>
            </w:r>
            <w:r w:rsidR="008978E0">
              <w:rPr>
                <w:noProof/>
                <w:webHidden/>
              </w:rPr>
              <w:instrText xml:space="preserve"> PAGEREF _Toc8293863 \h </w:instrText>
            </w:r>
            <w:r w:rsidR="008978E0">
              <w:rPr>
                <w:noProof/>
                <w:webHidden/>
              </w:rPr>
            </w:r>
            <w:r w:rsidR="008978E0">
              <w:rPr>
                <w:noProof/>
                <w:webHidden/>
              </w:rPr>
              <w:fldChar w:fldCharType="separate"/>
            </w:r>
            <w:r w:rsidR="001675BD">
              <w:rPr>
                <w:noProof/>
                <w:webHidden/>
              </w:rPr>
              <w:t>5</w:t>
            </w:r>
            <w:r w:rsidR="008978E0">
              <w:rPr>
                <w:noProof/>
                <w:webHidden/>
              </w:rPr>
              <w:fldChar w:fldCharType="end"/>
            </w:r>
          </w:hyperlink>
        </w:p>
        <w:p w14:paraId="08FD6376" w14:textId="2BB13459" w:rsidR="008978E0" w:rsidRDefault="00B1667C">
          <w:pPr>
            <w:pStyle w:val="TOC1"/>
            <w:tabs>
              <w:tab w:val="left" w:pos="880"/>
              <w:tab w:val="right" w:leader="dot" w:pos="9016"/>
            </w:tabs>
            <w:rPr>
              <w:rFonts w:eastAsiaTheme="minorEastAsia"/>
              <w:noProof/>
              <w:lang w:eastAsia="en-GB"/>
            </w:rPr>
          </w:pPr>
          <w:hyperlink w:anchor="_Toc8293864" w:history="1">
            <w:r w:rsidR="008978E0" w:rsidRPr="009A2A88">
              <w:rPr>
                <w:rStyle w:val="Hyperlink"/>
                <w:noProof/>
              </w:rPr>
              <w:t>4.2.3.</w:t>
            </w:r>
            <w:r w:rsidR="008978E0">
              <w:rPr>
                <w:rFonts w:eastAsiaTheme="minorEastAsia"/>
                <w:noProof/>
                <w:lang w:eastAsia="en-GB"/>
              </w:rPr>
              <w:tab/>
            </w:r>
            <w:r w:rsidR="008978E0" w:rsidRPr="009A2A88">
              <w:rPr>
                <w:rStyle w:val="Hyperlink"/>
                <w:noProof/>
              </w:rPr>
              <w:t>Virtual Institute of Technology</w:t>
            </w:r>
            <w:r w:rsidR="008978E0">
              <w:rPr>
                <w:noProof/>
                <w:webHidden/>
              </w:rPr>
              <w:tab/>
            </w:r>
            <w:r w:rsidR="008978E0">
              <w:rPr>
                <w:noProof/>
                <w:webHidden/>
              </w:rPr>
              <w:fldChar w:fldCharType="begin"/>
            </w:r>
            <w:r w:rsidR="008978E0">
              <w:rPr>
                <w:noProof/>
                <w:webHidden/>
              </w:rPr>
              <w:instrText xml:space="preserve"> PAGEREF _Toc8293864 \h </w:instrText>
            </w:r>
            <w:r w:rsidR="008978E0">
              <w:rPr>
                <w:noProof/>
                <w:webHidden/>
              </w:rPr>
            </w:r>
            <w:r w:rsidR="008978E0">
              <w:rPr>
                <w:noProof/>
                <w:webHidden/>
              </w:rPr>
              <w:fldChar w:fldCharType="separate"/>
            </w:r>
            <w:r w:rsidR="001675BD">
              <w:rPr>
                <w:noProof/>
                <w:webHidden/>
              </w:rPr>
              <w:t>6</w:t>
            </w:r>
            <w:r w:rsidR="008978E0">
              <w:rPr>
                <w:noProof/>
                <w:webHidden/>
              </w:rPr>
              <w:fldChar w:fldCharType="end"/>
            </w:r>
          </w:hyperlink>
        </w:p>
        <w:p w14:paraId="7BDD5BAA" w14:textId="40E13453" w:rsidR="008978E0" w:rsidRDefault="00B1667C">
          <w:pPr>
            <w:pStyle w:val="TOC1"/>
            <w:tabs>
              <w:tab w:val="left" w:pos="880"/>
              <w:tab w:val="right" w:leader="dot" w:pos="9016"/>
            </w:tabs>
            <w:rPr>
              <w:rFonts w:eastAsiaTheme="minorEastAsia"/>
              <w:noProof/>
              <w:lang w:eastAsia="en-GB"/>
            </w:rPr>
          </w:pPr>
          <w:hyperlink w:anchor="_Toc8293865" w:history="1">
            <w:r w:rsidR="008978E0" w:rsidRPr="009A2A88">
              <w:rPr>
                <w:rStyle w:val="Hyperlink"/>
                <w:noProof/>
              </w:rPr>
              <w:t>4.2.4.</w:t>
            </w:r>
            <w:r w:rsidR="008978E0">
              <w:rPr>
                <w:rFonts w:eastAsiaTheme="minorEastAsia"/>
                <w:noProof/>
                <w:lang w:eastAsia="en-GB"/>
              </w:rPr>
              <w:tab/>
            </w:r>
            <w:r w:rsidR="008978E0" w:rsidRPr="009A2A88">
              <w:rPr>
                <w:rStyle w:val="Hyperlink"/>
                <w:noProof/>
              </w:rPr>
              <w:t>Challenges for 2019</w:t>
            </w:r>
            <w:r w:rsidR="008978E0">
              <w:rPr>
                <w:noProof/>
                <w:webHidden/>
              </w:rPr>
              <w:tab/>
            </w:r>
            <w:r w:rsidR="008978E0">
              <w:rPr>
                <w:noProof/>
                <w:webHidden/>
              </w:rPr>
              <w:fldChar w:fldCharType="begin"/>
            </w:r>
            <w:r w:rsidR="008978E0">
              <w:rPr>
                <w:noProof/>
                <w:webHidden/>
              </w:rPr>
              <w:instrText xml:space="preserve"> PAGEREF _Toc8293865 \h </w:instrText>
            </w:r>
            <w:r w:rsidR="008978E0">
              <w:rPr>
                <w:noProof/>
                <w:webHidden/>
              </w:rPr>
            </w:r>
            <w:r w:rsidR="008978E0">
              <w:rPr>
                <w:noProof/>
                <w:webHidden/>
              </w:rPr>
              <w:fldChar w:fldCharType="separate"/>
            </w:r>
            <w:r w:rsidR="001675BD">
              <w:rPr>
                <w:noProof/>
                <w:webHidden/>
              </w:rPr>
              <w:t>7</w:t>
            </w:r>
            <w:r w:rsidR="008978E0">
              <w:rPr>
                <w:noProof/>
                <w:webHidden/>
              </w:rPr>
              <w:fldChar w:fldCharType="end"/>
            </w:r>
          </w:hyperlink>
        </w:p>
        <w:p w14:paraId="761272A1" w14:textId="350C53D5" w:rsidR="008978E0" w:rsidRDefault="00B1667C">
          <w:pPr>
            <w:pStyle w:val="TOC1"/>
            <w:tabs>
              <w:tab w:val="left" w:pos="880"/>
              <w:tab w:val="right" w:leader="dot" w:pos="9016"/>
            </w:tabs>
            <w:rPr>
              <w:rFonts w:eastAsiaTheme="minorEastAsia"/>
              <w:noProof/>
              <w:lang w:eastAsia="en-GB"/>
            </w:rPr>
          </w:pPr>
          <w:hyperlink w:anchor="_Toc8293866" w:history="1">
            <w:r w:rsidR="008978E0" w:rsidRPr="009A2A88">
              <w:rPr>
                <w:rStyle w:val="Hyperlink"/>
                <w:noProof/>
              </w:rPr>
              <w:t>4.2.5.</w:t>
            </w:r>
            <w:r w:rsidR="008978E0">
              <w:rPr>
                <w:rFonts w:eastAsiaTheme="minorEastAsia"/>
                <w:noProof/>
                <w:lang w:eastAsia="en-GB"/>
              </w:rPr>
              <w:tab/>
            </w:r>
            <w:r w:rsidR="008978E0" w:rsidRPr="009A2A88">
              <w:rPr>
                <w:rStyle w:val="Hyperlink"/>
                <w:noProof/>
              </w:rPr>
              <w:t>Skills Key Actions for 19/20</w:t>
            </w:r>
            <w:r w:rsidR="008978E0">
              <w:rPr>
                <w:noProof/>
                <w:webHidden/>
              </w:rPr>
              <w:tab/>
            </w:r>
            <w:r w:rsidR="008978E0">
              <w:rPr>
                <w:noProof/>
                <w:webHidden/>
              </w:rPr>
              <w:fldChar w:fldCharType="begin"/>
            </w:r>
            <w:r w:rsidR="008978E0">
              <w:rPr>
                <w:noProof/>
                <w:webHidden/>
              </w:rPr>
              <w:instrText xml:space="preserve"> PAGEREF _Toc8293866 \h </w:instrText>
            </w:r>
            <w:r w:rsidR="008978E0">
              <w:rPr>
                <w:noProof/>
                <w:webHidden/>
              </w:rPr>
            </w:r>
            <w:r w:rsidR="008978E0">
              <w:rPr>
                <w:noProof/>
                <w:webHidden/>
              </w:rPr>
              <w:fldChar w:fldCharType="separate"/>
            </w:r>
            <w:r w:rsidR="001675BD">
              <w:rPr>
                <w:noProof/>
                <w:webHidden/>
              </w:rPr>
              <w:t>7</w:t>
            </w:r>
            <w:r w:rsidR="008978E0">
              <w:rPr>
                <w:noProof/>
                <w:webHidden/>
              </w:rPr>
              <w:fldChar w:fldCharType="end"/>
            </w:r>
          </w:hyperlink>
        </w:p>
        <w:p w14:paraId="3CC47DA7" w14:textId="4D00CCB6" w:rsidR="008978E0" w:rsidRDefault="00B1667C">
          <w:pPr>
            <w:pStyle w:val="TOC1"/>
            <w:tabs>
              <w:tab w:val="left" w:pos="660"/>
              <w:tab w:val="right" w:leader="dot" w:pos="9016"/>
            </w:tabs>
            <w:rPr>
              <w:rFonts w:eastAsiaTheme="minorEastAsia"/>
              <w:noProof/>
              <w:lang w:eastAsia="en-GB"/>
            </w:rPr>
          </w:pPr>
          <w:hyperlink w:anchor="_Toc8293867" w:history="1">
            <w:r w:rsidR="008978E0" w:rsidRPr="009A2A88">
              <w:rPr>
                <w:rStyle w:val="Hyperlink"/>
                <w:noProof/>
              </w:rPr>
              <w:t>4.3.</w:t>
            </w:r>
            <w:r w:rsidR="008978E0">
              <w:rPr>
                <w:rFonts w:eastAsiaTheme="minorEastAsia"/>
                <w:noProof/>
                <w:lang w:eastAsia="en-GB"/>
              </w:rPr>
              <w:tab/>
            </w:r>
            <w:r w:rsidR="008978E0" w:rsidRPr="009A2A88">
              <w:rPr>
                <w:rStyle w:val="Hyperlink"/>
                <w:noProof/>
              </w:rPr>
              <w:t>Business Support</w:t>
            </w:r>
            <w:r w:rsidR="008978E0">
              <w:rPr>
                <w:noProof/>
                <w:webHidden/>
              </w:rPr>
              <w:tab/>
            </w:r>
            <w:r w:rsidR="008978E0">
              <w:rPr>
                <w:noProof/>
                <w:webHidden/>
              </w:rPr>
              <w:fldChar w:fldCharType="begin"/>
            </w:r>
            <w:r w:rsidR="008978E0">
              <w:rPr>
                <w:noProof/>
                <w:webHidden/>
              </w:rPr>
              <w:instrText xml:space="preserve"> PAGEREF _Toc8293867 \h </w:instrText>
            </w:r>
            <w:r w:rsidR="008978E0">
              <w:rPr>
                <w:noProof/>
                <w:webHidden/>
              </w:rPr>
            </w:r>
            <w:r w:rsidR="008978E0">
              <w:rPr>
                <w:noProof/>
                <w:webHidden/>
              </w:rPr>
              <w:fldChar w:fldCharType="separate"/>
            </w:r>
            <w:r w:rsidR="001675BD">
              <w:rPr>
                <w:noProof/>
                <w:webHidden/>
              </w:rPr>
              <w:t>8</w:t>
            </w:r>
            <w:r w:rsidR="008978E0">
              <w:rPr>
                <w:noProof/>
                <w:webHidden/>
              </w:rPr>
              <w:fldChar w:fldCharType="end"/>
            </w:r>
          </w:hyperlink>
        </w:p>
        <w:p w14:paraId="5915508D" w14:textId="30F67102" w:rsidR="008978E0" w:rsidRDefault="00B1667C">
          <w:pPr>
            <w:pStyle w:val="TOC1"/>
            <w:tabs>
              <w:tab w:val="left" w:pos="660"/>
              <w:tab w:val="right" w:leader="dot" w:pos="9016"/>
            </w:tabs>
            <w:rPr>
              <w:rFonts w:eastAsiaTheme="minorEastAsia"/>
              <w:noProof/>
              <w:lang w:eastAsia="en-GB"/>
            </w:rPr>
          </w:pPr>
          <w:hyperlink w:anchor="_Toc8293868" w:history="1">
            <w:r w:rsidR="008978E0" w:rsidRPr="009A2A88">
              <w:rPr>
                <w:rStyle w:val="Hyperlink"/>
                <w:noProof/>
              </w:rPr>
              <w:t>4.5.</w:t>
            </w:r>
            <w:r w:rsidR="008978E0">
              <w:rPr>
                <w:rFonts w:eastAsiaTheme="minorEastAsia"/>
                <w:noProof/>
                <w:lang w:eastAsia="en-GB"/>
              </w:rPr>
              <w:tab/>
            </w:r>
            <w:r w:rsidR="008978E0" w:rsidRPr="009A2A88">
              <w:rPr>
                <w:rStyle w:val="Hyperlink"/>
                <w:rFonts w:cstheme="minorHAnsi"/>
                <w:noProof/>
              </w:rPr>
              <w:t>Infrastructure</w:t>
            </w:r>
            <w:r w:rsidR="008978E0">
              <w:rPr>
                <w:noProof/>
                <w:webHidden/>
              </w:rPr>
              <w:tab/>
            </w:r>
            <w:r w:rsidR="008978E0">
              <w:rPr>
                <w:noProof/>
                <w:webHidden/>
              </w:rPr>
              <w:fldChar w:fldCharType="begin"/>
            </w:r>
            <w:r w:rsidR="008978E0">
              <w:rPr>
                <w:noProof/>
                <w:webHidden/>
              </w:rPr>
              <w:instrText xml:space="preserve"> PAGEREF _Toc8293868 \h </w:instrText>
            </w:r>
            <w:r w:rsidR="008978E0">
              <w:rPr>
                <w:noProof/>
                <w:webHidden/>
              </w:rPr>
            </w:r>
            <w:r w:rsidR="008978E0">
              <w:rPr>
                <w:noProof/>
                <w:webHidden/>
              </w:rPr>
              <w:fldChar w:fldCharType="separate"/>
            </w:r>
            <w:r w:rsidR="001675BD">
              <w:rPr>
                <w:noProof/>
                <w:webHidden/>
              </w:rPr>
              <w:t>10</w:t>
            </w:r>
            <w:r w:rsidR="008978E0">
              <w:rPr>
                <w:noProof/>
                <w:webHidden/>
              </w:rPr>
              <w:fldChar w:fldCharType="end"/>
            </w:r>
          </w:hyperlink>
        </w:p>
        <w:p w14:paraId="21C005BE" w14:textId="13B87C04" w:rsidR="008978E0" w:rsidRDefault="00B1667C">
          <w:pPr>
            <w:pStyle w:val="TOC1"/>
            <w:tabs>
              <w:tab w:val="left" w:pos="880"/>
              <w:tab w:val="right" w:leader="dot" w:pos="9016"/>
            </w:tabs>
            <w:rPr>
              <w:rFonts w:eastAsiaTheme="minorEastAsia"/>
              <w:noProof/>
              <w:lang w:eastAsia="en-GB"/>
            </w:rPr>
          </w:pPr>
          <w:hyperlink w:anchor="_Toc8293869" w:history="1">
            <w:r w:rsidR="008978E0" w:rsidRPr="009A2A88">
              <w:rPr>
                <w:rStyle w:val="Hyperlink"/>
                <w:noProof/>
              </w:rPr>
              <w:t>4.5.1.</w:t>
            </w:r>
            <w:r w:rsidR="008978E0">
              <w:rPr>
                <w:rFonts w:eastAsiaTheme="minorEastAsia"/>
                <w:noProof/>
                <w:lang w:eastAsia="en-GB"/>
              </w:rPr>
              <w:tab/>
            </w:r>
            <w:r w:rsidR="008978E0" w:rsidRPr="009A2A88">
              <w:rPr>
                <w:rStyle w:val="Hyperlink"/>
                <w:noProof/>
              </w:rPr>
              <w:t>Local Growth Fund</w:t>
            </w:r>
            <w:r w:rsidR="008978E0">
              <w:rPr>
                <w:noProof/>
                <w:webHidden/>
              </w:rPr>
              <w:tab/>
            </w:r>
            <w:r w:rsidR="008978E0">
              <w:rPr>
                <w:noProof/>
                <w:webHidden/>
              </w:rPr>
              <w:fldChar w:fldCharType="begin"/>
            </w:r>
            <w:r w:rsidR="008978E0">
              <w:rPr>
                <w:noProof/>
                <w:webHidden/>
              </w:rPr>
              <w:instrText xml:space="preserve"> PAGEREF _Toc8293869 \h </w:instrText>
            </w:r>
            <w:r w:rsidR="008978E0">
              <w:rPr>
                <w:noProof/>
                <w:webHidden/>
              </w:rPr>
            </w:r>
            <w:r w:rsidR="008978E0">
              <w:rPr>
                <w:noProof/>
                <w:webHidden/>
              </w:rPr>
              <w:fldChar w:fldCharType="separate"/>
            </w:r>
            <w:r w:rsidR="001675BD">
              <w:rPr>
                <w:noProof/>
                <w:webHidden/>
              </w:rPr>
              <w:t>11</w:t>
            </w:r>
            <w:r w:rsidR="008978E0">
              <w:rPr>
                <w:noProof/>
                <w:webHidden/>
              </w:rPr>
              <w:fldChar w:fldCharType="end"/>
            </w:r>
          </w:hyperlink>
        </w:p>
        <w:p w14:paraId="5EA91FAA" w14:textId="0285CB40" w:rsidR="008978E0" w:rsidRDefault="00B1667C">
          <w:pPr>
            <w:pStyle w:val="TOC1"/>
            <w:tabs>
              <w:tab w:val="left" w:pos="660"/>
              <w:tab w:val="right" w:leader="dot" w:pos="9016"/>
            </w:tabs>
            <w:rPr>
              <w:rFonts w:eastAsiaTheme="minorEastAsia"/>
              <w:noProof/>
              <w:lang w:eastAsia="en-GB"/>
            </w:rPr>
          </w:pPr>
          <w:hyperlink w:anchor="_Toc8293870" w:history="1">
            <w:r w:rsidR="008978E0" w:rsidRPr="009A2A88">
              <w:rPr>
                <w:rStyle w:val="Hyperlink"/>
                <w:iCs/>
                <w:noProof/>
              </w:rPr>
              <w:t>4.6.</w:t>
            </w:r>
            <w:r w:rsidR="008978E0">
              <w:rPr>
                <w:rFonts w:eastAsiaTheme="minorEastAsia"/>
                <w:noProof/>
                <w:lang w:eastAsia="en-GB"/>
              </w:rPr>
              <w:tab/>
            </w:r>
            <w:r w:rsidR="008978E0" w:rsidRPr="009A2A88">
              <w:rPr>
                <w:rStyle w:val="Hyperlink"/>
                <w:iCs/>
                <w:noProof/>
              </w:rPr>
              <w:t>Monitoring and Evaluation</w:t>
            </w:r>
            <w:r w:rsidR="008978E0">
              <w:rPr>
                <w:noProof/>
                <w:webHidden/>
              </w:rPr>
              <w:tab/>
            </w:r>
            <w:r w:rsidR="008978E0">
              <w:rPr>
                <w:noProof/>
                <w:webHidden/>
              </w:rPr>
              <w:fldChar w:fldCharType="begin"/>
            </w:r>
            <w:r w:rsidR="008978E0">
              <w:rPr>
                <w:noProof/>
                <w:webHidden/>
              </w:rPr>
              <w:instrText xml:space="preserve"> PAGEREF _Toc8293870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1930AE34" w14:textId="490C3F5D" w:rsidR="008978E0" w:rsidRDefault="00B1667C">
          <w:pPr>
            <w:pStyle w:val="TOC1"/>
            <w:tabs>
              <w:tab w:val="left" w:pos="880"/>
              <w:tab w:val="right" w:leader="dot" w:pos="9016"/>
            </w:tabs>
            <w:rPr>
              <w:rFonts w:eastAsiaTheme="minorEastAsia"/>
              <w:noProof/>
              <w:lang w:eastAsia="en-GB"/>
            </w:rPr>
          </w:pPr>
          <w:hyperlink w:anchor="_Toc8293871" w:history="1">
            <w:r w:rsidR="008978E0" w:rsidRPr="009A2A88">
              <w:rPr>
                <w:rStyle w:val="Hyperlink"/>
                <w:iCs/>
                <w:noProof/>
              </w:rPr>
              <w:t>4.6.1.</w:t>
            </w:r>
            <w:r w:rsidR="008978E0">
              <w:rPr>
                <w:rFonts w:eastAsiaTheme="minorEastAsia"/>
                <w:noProof/>
                <w:lang w:eastAsia="en-GB"/>
              </w:rPr>
              <w:tab/>
            </w:r>
            <w:r w:rsidR="008978E0" w:rsidRPr="009A2A88">
              <w:rPr>
                <w:rStyle w:val="Hyperlink"/>
                <w:iCs/>
                <w:noProof/>
              </w:rPr>
              <w:t>Monitoring and Evaluation Key actions for 2019/20</w:t>
            </w:r>
            <w:r w:rsidR="008978E0">
              <w:rPr>
                <w:noProof/>
                <w:webHidden/>
              </w:rPr>
              <w:tab/>
            </w:r>
            <w:r w:rsidR="008978E0">
              <w:rPr>
                <w:noProof/>
                <w:webHidden/>
              </w:rPr>
              <w:fldChar w:fldCharType="begin"/>
            </w:r>
            <w:r w:rsidR="008978E0">
              <w:rPr>
                <w:noProof/>
                <w:webHidden/>
              </w:rPr>
              <w:instrText xml:space="preserve"> PAGEREF _Toc8293871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7B97B483" w14:textId="51BF9FDA" w:rsidR="008978E0" w:rsidRDefault="00B1667C">
          <w:pPr>
            <w:pStyle w:val="TOC1"/>
            <w:tabs>
              <w:tab w:val="left" w:pos="880"/>
              <w:tab w:val="right" w:leader="dot" w:pos="9016"/>
            </w:tabs>
            <w:rPr>
              <w:rFonts w:eastAsiaTheme="minorEastAsia"/>
              <w:noProof/>
              <w:lang w:eastAsia="en-GB"/>
            </w:rPr>
          </w:pPr>
          <w:hyperlink w:anchor="_Toc8293872" w:history="1">
            <w:r w:rsidR="008978E0" w:rsidRPr="009A2A88">
              <w:rPr>
                <w:rStyle w:val="Hyperlink"/>
                <w:noProof/>
              </w:rPr>
              <w:t>4.6.2.</w:t>
            </w:r>
            <w:r w:rsidR="008978E0">
              <w:rPr>
                <w:rFonts w:eastAsiaTheme="minorEastAsia"/>
                <w:noProof/>
                <w:lang w:eastAsia="en-GB"/>
              </w:rPr>
              <w:tab/>
            </w:r>
            <w:r w:rsidR="008978E0" w:rsidRPr="009A2A88">
              <w:rPr>
                <w:rStyle w:val="Hyperlink"/>
                <w:noProof/>
              </w:rPr>
              <w:t>Growing Places Fund</w:t>
            </w:r>
            <w:r w:rsidR="008978E0">
              <w:rPr>
                <w:noProof/>
                <w:webHidden/>
              </w:rPr>
              <w:tab/>
            </w:r>
            <w:r w:rsidR="008978E0">
              <w:rPr>
                <w:noProof/>
                <w:webHidden/>
              </w:rPr>
              <w:fldChar w:fldCharType="begin"/>
            </w:r>
            <w:r w:rsidR="008978E0">
              <w:rPr>
                <w:noProof/>
                <w:webHidden/>
              </w:rPr>
              <w:instrText xml:space="preserve"> PAGEREF _Toc8293872 \h </w:instrText>
            </w:r>
            <w:r w:rsidR="008978E0">
              <w:rPr>
                <w:noProof/>
                <w:webHidden/>
              </w:rPr>
            </w:r>
            <w:r w:rsidR="008978E0">
              <w:rPr>
                <w:noProof/>
                <w:webHidden/>
              </w:rPr>
              <w:fldChar w:fldCharType="separate"/>
            </w:r>
            <w:r w:rsidR="001675BD">
              <w:rPr>
                <w:noProof/>
                <w:webHidden/>
              </w:rPr>
              <w:t>13</w:t>
            </w:r>
            <w:r w:rsidR="008978E0">
              <w:rPr>
                <w:noProof/>
                <w:webHidden/>
              </w:rPr>
              <w:fldChar w:fldCharType="end"/>
            </w:r>
          </w:hyperlink>
        </w:p>
        <w:p w14:paraId="05F50B91" w14:textId="04FE5504" w:rsidR="008978E0" w:rsidRDefault="00B1667C">
          <w:pPr>
            <w:pStyle w:val="TOC1"/>
            <w:tabs>
              <w:tab w:val="left" w:pos="880"/>
              <w:tab w:val="right" w:leader="dot" w:pos="9016"/>
            </w:tabs>
            <w:rPr>
              <w:rFonts w:eastAsiaTheme="minorEastAsia"/>
              <w:noProof/>
              <w:lang w:eastAsia="en-GB"/>
            </w:rPr>
          </w:pPr>
          <w:hyperlink w:anchor="_Toc8293873" w:history="1">
            <w:r w:rsidR="008978E0" w:rsidRPr="009A2A88">
              <w:rPr>
                <w:rStyle w:val="Hyperlink"/>
                <w:iCs/>
                <w:noProof/>
              </w:rPr>
              <w:t>4.6.3.</w:t>
            </w:r>
            <w:r w:rsidR="008978E0">
              <w:rPr>
                <w:rFonts w:eastAsiaTheme="minorEastAsia"/>
                <w:noProof/>
                <w:lang w:eastAsia="en-GB"/>
              </w:rPr>
              <w:tab/>
            </w:r>
            <w:r w:rsidR="008978E0" w:rsidRPr="009A2A88">
              <w:rPr>
                <w:rStyle w:val="Hyperlink"/>
                <w:iCs/>
                <w:noProof/>
              </w:rPr>
              <w:t>Cheshire and Warrington Urban Development Fund</w:t>
            </w:r>
            <w:r w:rsidR="008978E0">
              <w:rPr>
                <w:noProof/>
                <w:webHidden/>
              </w:rPr>
              <w:tab/>
            </w:r>
            <w:r w:rsidR="008978E0">
              <w:rPr>
                <w:noProof/>
                <w:webHidden/>
              </w:rPr>
              <w:fldChar w:fldCharType="begin"/>
            </w:r>
            <w:r w:rsidR="008978E0">
              <w:rPr>
                <w:noProof/>
                <w:webHidden/>
              </w:rPr>
              <w:instrText xml:space="preserve"> PAGEREF _Toc8293873 \h </w:instrText>
            </w:r>
            <w:r w:rsidR="008978E0">
              <w:rPr>
                <w:noProof/>
                <w:webHidden/>
              </w:rPr>
            </w:r>
            <w:r w:rsidR="008978E0">
              <w:rPr>
                <w:noProof/>
                <w:webHidden/>
              </w:rPr>
              <w:fldChar w:fldCharType="separate"/>
            </w:r>
            <w:r w:rsidR="001675BD">
              <w:rPr>
                <w:noProof/>
                <w:webHidden/>
              </w:rPr>
              <w:t>13</w:t>
            </w:r>
            <w:r w:rsidR="008978E0">
              <w:rPr>
                <w:noProof/>
                <w:webHidden/>
              </w:rPr>
              <w:fldChar w:fldCharType="end"/>
            </w:r>
          </w:hyperlink>
        </w:p>
        <w:p w14:paraId="24C96476" w14:textId="020FA889" w:rsidR="008978E0" w:rsidRDefault="00B1667C">
          <w:pPr>
            <w:pStyle w:val="TOC1"/>
            <w:tabs>
              <w:tab w:val="left" w:pos="880"/>
              <w:tab w:val="right" w:leader="dot" w:pos="9016"/>
            </w:tabs>
            <w:rPr>
              <w:rFonts w:eastAsiaTheme="minorEastAsia"/>
              <w:noProof/>
              <w:lang w:eastAsia="en-GB"/>
            </w:rPr>
          </w:pPr>
          <w:hyperlink w:anchor="_Toc8293874" w:history="1">
            <w:r w:rsidR="008978E0" w:rsidRPr="009A2A88">
              <w:rPr>
                <w:rStyle w:val="Hyperlink"/>
                <w:noProof/>
              </w:rPr>
              <w:t>4.6.4.</w:t>
            </w:r>
            <w:r w:rsidR="008978E0">
              <w:rPr>
                <w:rFonts w:eastAsiaTheme="minorEastAsia"/>
                <w:noProof/>
                <w:lang w:eastAsia="en-GB"/>
              </w:rPr>
              <w:tab/>
            </w:r>
            <w:r w:rsidR="008978E0" w:rsidRPr="009A2A88">
              <w:rPr>
                <w:rStyle w:val="Hyperlink"/>
                <w:noProof/>
              </w:rPr>
              <w:t>European Structural Investment Funds</w:t>
            </w:r>
            <w:r w:rsidR="008978E0">
              <w:rPr>
                <w:noProof/>
                <w:webHidden/>
              </w:rPr>
              <w:tab/>
            </w:r>
            <w:r w:rsidR="008978E0">
              <w:rPr>
                <w:noProof/>
                <w:webHidden/>
              </w:rPr>
              <w:fldChar w:fldCharType="begin"/>
            </w:r>
            <w:r w:rsidR="008978E0">
              <w:rPr>
                <w:noProof/>
                <w:webHidden/>
              </w:rPr>
              <w:instrText xml:space="preserve"> PAGEREF _Toc8293874 \h </w:instrText>
            </w:r>
            <w:r w:rsidR="008978E0">
              <w:rPr>
                <w:noProof/>
                <w:webHidden/>
              </w:rPr>
            </w:r>
            <w:r w:rsidR="008978E0">
              <w:rPr>
                <w:noProof/>
                <w:webHidden/>
              </w:rPr>
              <w:fldChar w:fldCharType="separate"/>
            </w:r>
            <w:r w:rsidR="001675BD">
              <w:rPr>
                <w:noProof/>
                <w:webHidden/>
              </w:rPr>
              <w:t>13</w:t>
            </w:r>
            <w:r w:rsidR="008978E0">
              <w:rPr>
                <w:noProof/>
                <w:webHidden/>
              </w:rPr>
              <w:fldChar w:fldCharType="end"/>
            </w:r>
          </w:hyperlink>
        </w:p>
        <w:p w14:paraId="5D1FD1D7" w14:textId="3E8675A8" w:rsidR="008978E0" w:rsidRDefault="00B1667C">
          <w:pPr>
            <w:pStyle w:val="TOC1"/>
            <w:tabs>
              <w:tab w:val="left" w:pos="880"/>
              <w:tab w:val="right" w:leader="dot" w:pos="9016"/>
            </w:tabs>
            <w:rPr>
              <w:rFonts w:eastAsiaTheme="minorEastAsia"/>
              <w:noProof/>
              <w:lang w:eastAsia="en-GB"/>
            </w:rPr>
          </w:pPr>
          <w:hyperlink w:anchor="_Toc8293875" w:history="1">
            <w:r w:rsidR="008978E0" w:rsidRPr="009A2A88">
              <w:rPr>
                <w:rStyle w:val="Hyperlink"/>
                <w:rFonts w:cstheme="minorHAnsi"/>
                <w:noProof/>
              </w:rPr>
              <w:t>4.6.5.</w:t>
            </w:r>
            <w:r w:rsidR="008978E0">
              <w:rPr>
                <w:rFonts w:eastAsiaTheme="minorEastAsia"/>
                <w:noProof/>
                <w:lang w:eastAsia="en-GB"/>
              </w:rPr>
              <w:tab/>
            </w:r>
            <w:r w:rsidR="008978E0" w:rsidRPr="009A2A88">
              <w:rPr>
                <w:rStyle w:val="Hyperlink"/>
                <w:rFonts w:cstheme="minorHAnsi"/>
                <w:noProof/>
              </w:rPr>
              <w:t>Infrastructure Key Priorities for 2019/20:</w:t>
            </w:r>
            <w:r w:rsidR="008978E0">
              <w:rPr>
                <w:noProof/>
                <w:webHidden/>
              </w:rPr>
              <w:tab/>
            </w:r>
            <w:r w:rsidR="008978E0">
              <w:rPr>
                <w:noProof/>
                <w:webHidden/>
              </w:rPr>
              <w:fldChar w:fldCharType="begin"/>
            </w:r>
            <w:r w:rsidR="008978E0">
              <w:rPr>
                <w:noProof/>
                <w:webHidden/>
              </w:rPr>
              <w:instrText xml:space="preserve"> PAGEREF _Toc8293875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28C2102E" w14:textId="03C53FB8" w:rsidR="008978E0" w:rsidRDefault="00B1667C">
          <w:pPr>
            <w:pStyle w:val="TOC1"/>
            <w:tabs>
              <w:tab w:val="left" w:pos="880"/>
              <w:tab w:val="right" w:leader="dot" w:pos="9016"/>
            </w:tabs>
            <w:rPr>
              <w:rFonts w:eastAsiaTheme="minorEastAsia"/>
              <w:noProof/>
              <w:lang w:eastAsia="en-GB"/>
            </w:rPr>
          </w:pPr>
          <w:hyperlink w:anchor="_Toc8293876" w:history="1">
            <w:r w:rsidR="008978E0" w:rsidRPr="009A2A88">
              <w:rPr>
                <w:rStyle w:val="Hyperlink"/>
                <w:noProof/>
              </w:rPr>
              <w:t>4.6.6.</w:t>
            </w:r>
            <w:r w:rsidR="008978E0">
              <w:rPr>
                <w:rFonts w:eastAsiaTheme="minorEastAsia"/>
                <w:noProof/>
                <w:lang w:eastAsia="en-GB"/>
              </w:rPr>
              <w:tab/>
            </w:r>
            <w:r w:rsidR="008978E0" w:rsidRPr="009A2A88">
              <w:rPr>
                <w:rStyle w:val="Hyperlink"/>
                <w:noProof/>
              </w:rPr>
              <w:t>Enterprise Zone</w:t>
            </w:r>
            <w:r w:rsidR="008978E0">
              <w:rPr>
                <w:noProof/>
                <w:webHidden/>
              </w:rPr>
              <w:tab/>
            </w:r>
            <w:r w:rsidR="008978E0">
              <w:rPr>
                <w:noProof/>
                <w:webHidden/>
              </w:rPr>
              <w:fldChar w:fldCharType="begin"/>
            </w:r>
            <w:r w:rsidR="008978E0">
              <w:rPr>
                <w:noProof/>
                <w:webHidden/>
              </w:rPr>
              <w:instrText xml:space="preserve"> PAGEREF _Toc8293876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37F37DD7" w14:textId="53FB53F3" w:rsidR="008978E0" w:rsidRDefault="00B1667C">
          <w:pPr>
            <w:pStyle w:val="TOC1"/>
            <w:tabs>
              <w:tab w:val="left" w:pos="880"/>
              <w:tab w:val="right" w:leader="dot" w:pos="9016"/>
            </w:tabs>
            <w:rPr>
              <w:rFonts w:eastAsiaTheme="minorEastAsia"/>
              <w:noProof/>
              <w:lang w:eastAsia="en-GB"/>
            </w:rPr>
          </w:pPr>
          <w:hyperlink w:anchor="_Toc8293877" w:history="1">
            <w:r w:rsidR="008978E0" w:rsidRPr="009A2A88">
              <w:rPr>
                <w:rStyle w:val="Hyperlink"/>
                <w:noProof/>
              </w:rPr>
              <w:t>4.6.7.</w:t>
            </w:r>
            <w:r w:rsidR="008978E0">
              <w:rPr>
                <w:rFonts w:eastAsiaTheme="minorEastAsia"/>
                <w:noProof/>
                <w:lang w:eastAsia="en-GB"/>
              </w:rPr>
              <w:tab/>
            </w:r>
            <w:r w:rsidR="008978E0" w:rsidRPr="009A2A88">
              <w:rPr>
                <w:rStyle w:val="Hyperlink"/>
                <w:noProof/>
              </w:rPr>
              <w:t>Enterprise Zone Key actions for 19/20</w:t>
            </w:r>
            <w:r w:rsidR="008978E0">
              <w:rPr>
                <w:noProof/>
                <w:webHidden/>
              </w:rPr>
              <w:tab/>
            </w:r>
            <w:r w:rsidR="008978E0">
              <w:rPr>
                <w:noProof/>
                <w:webHidden/>
              </w:rPr>
              <w:fldChar w:fldCharType="begin"/>
            </w:r>
            <w:r w:rsidR="008978E0">
              <w:rPr>
                <w:noProof/>
                <w:webHidden/>
              </w:rPr>
              <w:instrText xml:space="preserve"> PAGEREF _Toc8293877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132F85BD" w14:textId="37FA54EE" w:rsidR="008978E0" w:rsidRDefault="00B1667C">
          <w:pPr>
            <w:pStyle w:val="TOC1"/>
            <w:tabs>
              <w:tab w:val="left" w:pos="440"/>
              <w:tab w:val="right" w:leader="dot" w:pos="9016"/>
            </w:tabs>
            <w:rPr>
              <w:rFonts w:eastAsiaTheme="minorEastAsia"/>
              <w:noProof/>
              <w:lang w:eastAsia="en-GB"/>
            </w:rPr>
          </w:pPr>
          <w:hyperlink w:anchor="_Toc8293878" w:history="1">
            <w:r w:rsidR="008978E0" w:rsidRPr="009A2A88">
              <w:rPr>
                <w:rStyle w:val="Hyperlink"/>
                <w:noProof/>
              </w:rPr>
              <w:t>5.</w:t>
            </w:r>
            <w:r w:rsidR="008978E0">
              <w:rPr>
                <w:rFonts w:eastAsiaTheme="minorEastAsia"/>
                <w:noProof/>
                <w:lang w:eastAsia="en-GB"/>
              </w:rPr>
              <w:tab/>
            </w:r>
            <w:r w:rsidR="008978E0" w:rsidRPr="009A2A88">
              <w:rPr>
                <w:rStyle w:val="Hyperlink"/>
                <w:noProof/>
              </w:rPr>
              <w:t>Marketing and Communications</w:t>
            </w:r>
            <w:r w:rsidR="008978E0">
              <w:rPr>
                <w:noProof/>
                <w:webHidden/>
              </w:rPr>
              <w:tab/>
            </w:r>
            <w:r w:rsidR="008978E0">
              <w:rPr>
                <w:noProof/>
                <w:webHidden/>
              </w:rPr>
              <w:fldChar w:fldCharType="begin"/>
            </w:r>
            <w:r w:rsidR="008978E0">
              <w:rPr>
                <w:noProof/>
                <w:webHidden/>
              </w:rPr>
              <w:instrText xml:space="preserve"> PAGEREF _Toc8293878 \h </w:instrText>
            </w:r>
            <w:r w:rsidR="008978E0">
              <w:rPr>
                <w:noProof/>
                <w:webHidden/>
              </w:rPr>
            </w:r>
            <w:r w:rsidR="008978E0">
              <w:rPr>
                <w:noProof/>
                <w:webHidden/>
              </w:rPr>
              <w:fldChar w:fldCharType="separate"/>
            </w:r>
            <w:r w:rsidR="001675BD">
              <w:rPr>
                <w:noProof/>
                <w:webHidden/>
              </w:rPr>
              <w:t>13</w:t>
            </w:r>
            <w:r w:rsidR="008978E0">
              <w:rPr>
                <w:noProof/>
                <w:webHidden/>
              </w:rPr>
              <w:fldChar w:fldCharType="end"/>
            </w:r>
          </w:hyperlink>
        </w:p>
        <w:p w14:paraId="212A54F7" w14:textId="18C22235" w:rsidR="008978E0" w:rsidRDefault="00B1667C">
          <w:pPr>
            <w:pStyle w:val="TOC1"/>
            <w:tabs>
              <w:tab w:val="left" w:pos="880"/>
              <w:tab w:val="right" w:leader="dot" w:pos="9016"/>
            </w:tabs>
            <w:rPr>
              <w:rFonts w:eastAsiaTheme="minorEastAsia"/>
              <w:noProof/>
              <w:lang w:eastAsia="en-GB"/>
            </w:rPr>
          </w:pPr>
          <w:hyperlink w:anchor="_Toc8293879" w:history="1">
            <w:r w:rsidR="008978E0" w:rsidRPr="009A2A88">
              <w:rPr>
                <w:rStyle w:val="Hyperlink"/>
                <w:iCs/>
                <w:noProof/>
              </w:rPr>
              <w:t>5.1.1.</w:t>
            </w:r>
            <w:r w:rsidR="008978E0">
              <w:rPr>
                <w:rFonts w:eastAsiaTheme="minorEastAsia"/>
                <w:noProof/>
                <w:lang w:eastAsia="en-GB"/>
              </w:rPr>
              <w:tab/>
            </w:r>
            <w:r w:rsidR="008978E0" w:rsidRPr="009A2A88">
              <w:rPr>
                <w:rStyle w:val="Hyperlink"/>
                <w:iCs/>
                <w:noProof/>
              </w:rPr>
              <w:t>Marketing key actions for 2019/20:</w:t>
            </w:r>
            <w:r w:rsidR="008978E0">
              <w:rPr>
                <w:noProof/>
                <w:webHidden/>
              </w:rPr>
              <w:tab/>
            </w:r>
            <w:r w:rsidR="008978E0">
              <w:rPr>
                <w:noProof/>
                <w:webHidden/>
              </w:rPr>
              <w:fldChar w:fldCharType="begin"/>
            </w:r>
            <w:r w:rsidR="008978E0">
              <w:rPr>
                <w:noProof/>
                <w:webHidden/>
              </w:rPr>
              <w:instrText xml:space="preserve"> PAGEREF _Toc8293879 \h </w:instrText>
            </w:r>
            <w:r w:rsidR="008978E0">
              <w:rPr>
                <w:noProof/>
                <w:webHidden/>
              </w:rPr>
              <w:fldChar w:fldCharType="separate"/>
            </w:r>
            <w:r w:rsidR="001675BD">
              <w:rPr>
                <w:b/>
                <w:bCs/>
                <w:noProof/>
                <w:webHidden/>
                <w:lang w:val="en-US"/>
              </w:rPr>
              <w:t>Error! Bookmark not defined.</w:t>
            </w:r>
            <w:r w:rsidR="008978E0">
              <w:rPr>
                <w:noProof/>
                <w:webHidden/>
              </w:rPr>
              <w:fldChar w:fldCharType="end"/>
            </w:r>
          </w:hyperlink>
        </w:p>
        <w:p w14:paraId="700A4F22" w14:textId="237E7DFF" w:rsidR="008978E0" w:rsidRDefault="00B1667C">
          <w:pPr>
            <w:pStyle w:val="TOC1"/>
            <w:tabs>
              <w:tab w:val="right" w:leader="dot" w:pos="9016"/>
            </w:tabs>
            <w:rPr>
              <w:rFonts w:eastAsiaTheme="minorEastAsia"/>
              <w:noProof/>
              <w:lang w:eastAsia="en-GB"/>
            </w:rPr>
          </w:pPr>
          <w:hyperlink w:anchor="_Toc8293880" w:history="1">
            <w:r w:rsidR="008978E0" w:rsidRPr="009A2A88">
              <w:rPr>
                <w:rStyle w:val="Hyperlink"/>
                <w:rFonts w:cstheme="minorHAnsi"/>
                <w:noProof/>
              </w:rPr>
              <w:t>Appendix 1</w:t>
            </w:r>
            <w:r w:rsidR="008978E0">
              <w:rPr>
                <w:noProof/>
                <w:webHidden/>
              </w:rPr>
              <w:tab/>
            </w:r>
            <w:r w:rsidR="008978E0">
              <w:rPr>
                <w:noProof/>
                <w:webHidden/>
              </w:rPr>
              <w:fldChar w:fldCharType="begin"/>
            </w:r>
            <w:r w:rsidR="008978E0">
              <w:rPr>
                <w:noProof/>
                <w:webHidden/>
              </w:rPr>
              <w:instrText xml:space="preserve"> PAGEREF _Toc8293880 \h </w:instrText>
            </w:r>
            <w:r w:rsidR="008978E0">
              <w:rPr>
                <w:noProof/>
                <w:webHidden/>
              </w:rPr>
            </w:r>
            <w:r w:rsidR="008978E0">
              <w:rPr>
                <w:noProof/>
                <w:webHidden/>
              </w:rPr>
              <w:fldChar w:fldCharType="separate"/>
            </w:r>
            <w:r w:rsidR="001675BD">
              <w:rPr>
                <w:noProof/>
                <w:webHidden/>
              </w:rPr>
              <w:t>16</w:t>
            </w:r>
            <w:r w:rsidR="008978E0">
              <w:rPr>
                <w:noProof/>
                <w:webHidden/>
              </w:rPr>
              <w:fldChar w:fldCharType="end"/>
            </w:r>
          </w:hyperlink>
        </w:p>
        <w:p w14:paraId="568ACF86" w14:textId="10AE5CA6" w:rsidR="008978E0" w:rsidRDefault="00B1667C">
          <w:pPr>
            <w:pStyle w:val="TOC1"/>
            <w:tabs>
              <w:tab w:val="right" w:leader="dot" w:pos="9016"/>
            </w:tabs>
            <w:rPr>
              <w:rFonts w:eastAsiaTheme="minorEastAsia"/>
              <w:noProof/>
              <w:lang w:eastAsia="en-GB"/>
            </w:rPr>
          </w:pPr>
          <w:hyperlink w:anchor="_Toc8293881" w:history="1">
            <w:r w:rsidR="008978E0" w:rsidRPr="009A2A88">
              <w:rPr>
                <w:rStyle w:val="Hyperlink"/>
                <w:rFonts w:cstheme="minorHAnsi"/>
                <w:noProof/>
              </w:rPr>
              <w:t>Details of LGF Projects to be delivered in in 19/20</w:t>
            </w:r>
            <w:r w:rsidR="008978E0">
              <w:rPr>
                <w:noProof/>
                <w:webHidden/>
              </w:rPr>
              <w:tab/>
            </w:r>
            <w:r w:rsidR="008978E0">
              <w:rPr>
                <w:noProof/>
                <w:webHidden/>
              </w:rPr>
              <w:fldChar w:fldCharType="begin"/>
            </w:r>
            <w:r w:rsidR="008978E0">
              <w:rPr>
                <w:noProof/>
                <w:webHidden/>
              </w:rPr>
              <w:instrText xml:space="preserve"> PAGEREF _Toc8293881 \h </w:instrText>
            </w:r>
            <w:r w:rsidR="008978E0">
              <w:rPr>
                <w:noProof/>
                <w:webHidden/>
              </w:rPr>
            </w:r>
            <w:r w:rsidR="008978E0">
              <w:rPr>
                <w:noProof/>
                <w:webHidden/>
              </w:rPr>
              <w:fldChar w:fldCharType="separate"/>
            </w:r>
            <w:r w:rsidR="001675BD">
              <w:rPr>
                <w:noProof/>
                <w:webHidden/>
              </w:rPr>
              <w:t>16</w:t>
            </w:r>
            <w:r w:rsidR="008978E0">
              <w:rPr>
                <w:noProof/>
                <w:webHidden/>
              </w:rPr>
              <w:fldChar w:fldCharType="end"/>
            </w:r>
          </w:hyperlink>
        </w:p>
        <w:p w14:paraId="716C2FC7" w14:textId="1A93CD0F" w:rsidR="004442D3" w:rsidRPr="00322CA3" w:rsidRDefault="004442D3" w:rsidP="0084746E">
          <w:pPr>
            <w:jc w:val="both"/>
          </w:pPr>
          <w:r w:rsidRPr="00E442D8">
            <w:rPr>
              <w:b/>
              <w:bCs/>
              <w:noProof/>
            </w:rPr>
            <w:fldChar w:fldCharType="end"/>
          </w:r>
        </w:p>
      </w:sdtContent>
    </w:sdt>
    <w:p w14:paraId="16F1E891" w14:textId="5D608956" w:rsidR="00D016E0" w:rsidRDefault="00D016E0" w:rsidP="00746B90">
      <w:pPr>
        <w:pStyle w:val="Heading1"/>
        <w:numPr>
          <w:ilvl w:val="0"/>
          <w:numId w:val="1"/>
        </w:numPr>
        <w:jc w:val="both"/>
      </w:pPr>
      <w:bookmarkStart w:id="0" w:name="_Toc8293850"/>
      <w:r>
        <w:lastRenderedPageBreak/>
        <w:t>Executive Summary</w:t>
      </w:r>
      <w:bookmarkEnd w:id="0"/>
    </w:p>
    <w:p w14:paraId="5B819603" w14:textId="266AE990" w:rsidR="00322CA3" w:rsidRDefault="00322CA3" w:rsidP="00D52811">
      <w:pPr>
        <w:jc w:val="both"/>
      </w:pPr>
      <w:r>
        <w:t>This delivery plan is the first produced by the LEP and brings together all the key actions for the following years from all areas of the business.</w:t>
      </w:r>
    </w:p>
    <w:p w14:paraId="1FB25BF2" w14:textId="2C264CFE" w:rsidR="00322CA3" w:rsidRDefault="00322CA3" w:rsidP="00D52811">
      <w:pPr>
        <w:jc w:val="both"/>
      </w:pPr>
      <w:r>
        <w:t xml:space="preserve">The LEP has grown significantly in the last 12 months and </w:t>
      </w:r>
      <w:r w:rsidR="00B1667C">
        <w:t>20</w:t>
      </w:r>
      <w:r>
        <w:t>19/20 is set to be an exciting year</w:t>
      </w:r>
      <w:r w:rsidR="00D52811">
        <w:t xml:space="preserve">.  The Growth Hub was bought in house in October </w:t>
      </w:r>
      <w:r w:rsidR="00B1667C">
        <w:t>20</w:t>
      </w:r>
      <w:r w:rsidR="00D52811">
        <w:t>18 and is set to grow as the team bed in and Enterprise co-coordinators are bought in to supplement and enhance the services offered to businesses and education bodies.</w:t>
      </w:r>
    </w:p>
    <w:p w14:paraId="6D8458D0" w14:textId="7208E3DE" w:rsidR="00D52811" w:rsidRDefault="00D52811" w:rsidP="00D52811">
      <w:pPr>
        <w:jc w:val="both"/>
      </w:pPr>
      <w:r>
        <w:t xml:space="preserve">Income from the Enterprise Zone has increased which offers new opportunities and there is a quality pipeline of </w:t>
      </w:r>
      <w:r w:rsidR="00B1667C">
        <w:t xml:space="preserve">potential </w:t>
      </w:r>
      <w:r>
        <w:t>investment</w:t>
      </w:r>
      <w:r w:rsidR="00B1667C">
        <w:t xml:space="preserve"> opportunities in the Zone which the LEP hope to fund via a loan from the local authorities</w:t>
      </w:r>
      <w:r>
        <w:t>.</w:t>
      </w:r>
    </w:p>
    <w:p w14:paraId="55FAE797" w14:textId="4C744745" w:rsidR="00D52811" w:rsidRDefault="00D52811" w:rsidP="00D52811">
      <w:pPr>
        <w:jc w:val="both"/>
      </w:pPr>
      <w:r>
        <w:t xml:space="preserve">The Local </w:t>
      </w:r>
      <w:r w:rsidR="008978E0">
        <w:t>Industrial</w:t>
      </w:r>
      <w:r>
        <w:t xml:space="preserve"> Strategy is expected to be complete in the summer and will help inform and guide future interventions and investment in the sub region.</w:t>
      </w:r>
    </w:p>
    <w:p w14:paraId="77996CAB" w14:textId="758D05EA" w:rsidR="00D016E0" w:rsidRPr="00D016E0" w:rsidRDefault="00D52811" w:rsidP="00D52811">
      <w:pPr>
        <w:jc w:val="both"/>
      </w:pPr>
      <w:r>
        <w:t xml:space="preserve">The LGF programme continues to perform well and is expected to contract all projects by the end of the year.  The outputs generated from the projects already contracted show that the programme should comfortably exceed its </w:t>
      </w:r>
      <w:r w:rsidR="00B1667C">
        <w:t xml:space="preserve">output </w:t>
      </w:r>
      <w:r>
        <w:t>targets and offer good value for money.</w:t>
      </w:r>
    </w:p>
    <w:p w14:paraId="73BCF1C7" w14:textId="48EE29AC" w:rsidR="00D016E0" w:rsidRDefault="00D016E0" w:rsidP="00746B90">
      <w:pPr>
        <w:pStyle w:val="Heading1"/>
        <w:numPr>
          <w:ilvl w:val="0"/>
          <w:numId w:val="1"/>
        </w:numPr>
        <w:jc w:val="both"/>
      </w:pPr>
      <w:bookmarkStart w:id="1" w:name="_Toc8293851"/>
      <w:r>
        <w:t>Introduction</w:t>
      </w:r>
      <w:bookmarkEnd w:id="1"/>
    </w:p>
    <w:p w14:paraId="6CE94DAB" w14:textId="25573A46" w:rsidR="00E96D7B" w:rsidRPr="0089034D" w:rsidRDefault="0089034D" w:rsidP="004C2295">
      <w:pPr>
        <w:jc w:val="both"/>
      </w:pPr>
      <w:r>
        <w:t>This is the first delivery plan to be produced by the Cheshire and Warrington L</w:t>
      </w:r>
      <w:r w:rsidR="00E96D7B">
        <w:t xml:space="preserve">ocal </w:t>
      </w:r>
      <w:r>
        <w:t>E</w:t>
      </w:r>
      <w:r w:rsidR="00E96D7B">
        <w:t xml:space="preserve">nterprise </w:t>
      </w:r>
      <w:r>
        <w:t>P</w:t>
      </w:r>
      <w:r w:rsidR="00E96D7B">
        <w:t>artnership</w:t>
      </w:r>
      <w:r w:rsidR="00B1667C">
        <w:t xml:space="preserve"> (</w:t>
      </w:r>
      <w:r w:rsidR="00E96D7B">
        <w:t xml:space="preserve">CWLEP).  The Plan sets out the priorities for the CWLEP for 2019/2020 and the outputs and deliverables we expect to achieve by the end of the year.  We will then reflect on the performance of the LEP against these priorities, profiled outputs and deliverable in the 19/20 </w:t>
      </w:r>
      <w:r w:rsidR="00942B15">
        <w:t>A</w:t>
      </w:r>
      <w:r w:rsidR="00E96D7B">
        <w:t xml:space="preserve">nnual </w:t>
      </w:r>
      <w:r w:rsidR="00942B15">
        <w:t>r</w:t>
      </w:r>
      <w:r w:rsidR="00E96D7B">
        <w:t>eview which will be published on the LEP website</w:t>
      </w:r>
      <w:r w:rsidR="00942B15">
        <w:t xml:space="preserve"> next summer</w:t>
      </w:r>
      <w:r w:rsidR="00E96D7B">
        <w:t>.</w:t>
      </w:r>
    </w:p>
    <w:p w14:paraId="3204AB52" w14:textId="52975547" w:rsidR="00D016E0" w:rsidRDefault="00D016E0" w:rsidP="00746B90">
      <w:pPr>
        <w:pStyle w:val="Heading1"/>
        <w:numPr>
          <w:ilvl w:val="0"/>
          <w:numId w:val="1"/>
        </w:numPr>
        <w:jc w:val="both"/>
      </w:pPr>
      <w:bookmarkStart w:id="2" w:name="_Toc8293852"/>
      <w:r>
        <w:t>Strategy</w:t>
      </w:r>
      <w:bookmarkEnd w:id="2"/>
    </w:p>
    <w:p w14:paraId="19A3165B" w14:textId="76B3D562" w:rsidR="00A96CCD" w:rsidRDefault="00A96CCD" w:rsidP="00746B90">
      <w:pPr>
        <w:pStyle w:val="Heading1"/>
        <w:keepLines w:val="0"/>
        <w:numPr>
          <w:ilvl w:val="1"/>
          <w:numId w:val="4"/>
        </w:numPr>
        <w:spacing w:line="252" w:lineRule="auto"/>
        <w:jc w:val="both"/>
        <w:rPr>
          <w:rFonts w:eastAsia="Times New Roman"/>
        </w:rPr>
      </w:pPr>
      <w:bookmarkStart w:id="3" w:name="_Toc8293853"/>
      <w:bookmarkStart w:id="4" w:name="_Hlk535484011"/>
      <w:r>
        <w:rPr>
          <w:rFonts w:eastAsia="Times New Roman"/>
        </w:rPr>
        <w:t>Strategic Economic Plan</w:t>
      </w:r>
      <w:bookmarkEnd w:id="3"/>
    </w:p>
    <w:p w14:paraId="209D5EF4" w14:textId="77777777" w:rsidR="00A96CCD" w:rsidRDefault="00A96CCD" w:rsidP="004C2295">
      <w:pPr>
        <w:jc w:val="both"/>
      </w:pPr>
      <w:r>
        <w:t xml:space="preserve">Our </w:t>
      </w:r>
      <w:hyperlink r:id="rId10" w:tgtFrame="_blank" w:history="1">
        <w:r>
          <w:rPr>
            <w:rStyle w:val="Hyperlink"/>
          </w:rPr>
          <w:t>refreshed Strategic Economic Plan</w:t>
        </w:r>
      </w:hyperlink>
      <w:r>
        <w:t>, published in July 2018, confirms the revised growth ambition shared across the Cheshire and Warrington sub-region: to grow our economy’s GVA to £50 billion per annum by 2040.</w:t>
      </w:r>
    </w:p>
    <w:p w14:paraId="50506B77" w14:textId="77777777" w:rsidR="00A96CCD" w:rsidRDefault="00A96CCD" w:rsidP="00B1667C">
      <w:pPr>
        <w:jc w:val="both"/>
      </w:pPr>
      <w:r>
        <w:t>The SEP sets out the key opportunities that will drive our growth ambitions:</w:t>
      </w:r>
    </w:p>
    <w:p w14:paraId="3837903E" w14:textId="77777777" w:rsidR="00A96CCD" w:rsidRDefault="00A96CCD" w:rsidP="00746B90">
      <w:pPr>
        <w:pStyle w:val="ListParagraph"/>
        <w:numPr>
          <w:ilvl w:val="1"/>
          <w:numId w:val="5"/>
        </w:numPr>
        <w:spacing w:line="252" w:lineRule="auto"/>
        <w:jc w:val="both"/>
      </w:pPr>
      <w:r>
        <w:t xml:space="preserve">The world class science, technology and innovation assets within the </w:t>
      </w:r>
      <w:hyperlink r:id="rId11" w:tgtFrame="_blank" w:history="1">
        <w:r>
          <w:rPr>
            <w:rStyle w:val="Hyperlink"/>
          </w:rPr>
          <w:t>Cheshire Science Corridor</w:t>
        </w:r>
      </w:hyperlink>
    </w:p>
    <w:p w14:paraId="46A57676" w14:textId="77777777" w:rsidR="00A96CCD" w:rsidRDefault="00A96CCD" w:rsidP="00746B90">
      <w:pPr>
        <w:pStyle w:val="ListParagraph"/>
        <w:numPr>
          <w:ilvl w:val="1"/>
          <w:numId w:val="5"/>
        </w:numPr>
        <w:spacing w:line="252" w:lineRule="auto"/>
        <w:jc w:val="both"/>
      </w:pPr>
      <w:r>
        <w:t xml:space="preserve">The once-in-a-generation opportunity that HS2 will bring to the </w:t>
      </w:r>
      <w:hyperlink r:id="rId12" w:tgtFrame="_blank" w:history="1">
        <w:r>
          <w:rPr>
            <w:rStyle w:val="Hyperlink"/>
          </w:rPr>
          <w:t>Constellation Partnership</w:t>
        </w:r>
      </w:hyperlink>
      <w:r>
        <w:t xml:space="preserve"> area and wider region</w:t>
      </w:r>
    </w:p>
    <w:p w14:paraId="54BE61D6" w14:textId="1AC12142" w:rsidR="00A96CCD" w:rsidRDefault="00A96CCD" w:rsidP="00746B90">
      <w:pPr>
        <w:pStyle w:val="ListParagraph"/>
        <w:numPr>
          <w:ilvl w:val="1"/>
          <w:numId w:val="5"/>
        </w:numPr>
        <w:spacing w:line="252" w:lineRule="auto"/>
        <w:jc w:val="both"/>
      </w:pPr>
      <w:r>
        <w:t xml:space="preserve">The unique cross-border opportunities within the </w:t>
      </w:r>
      <w:hyperlink r:id="rId13" w:tgtFrame="_blank" w:history="1">
        <w:r>
          <w:rPr>
            <w:rStyle w:val="Hyperlink"/>
          </w:rPr>
          <w:t>Mersey Dee Economic A</w:t>
        </w:r>
        <w:r w:rsidR="00B1667C">
          <w:rPr>
            <w:rStyle w:val="Hyperlink"/>
          </w:rPr>
          <w:t>lliance</w:t>
        </w:r>
      </w:hyperlink>
      <w:r>
        <w:t xml:space="preserve">, and the potential to create </w:t>
      </w:r>
      <w:hyperlink r:id="rId14" w:tgtFrame="_blank" w:history="1">
        <w:r>
          <w:rPr>
            <w:rStyle w:val="Hyperlink"/>
          </w:rPr>
          <w:t>Warrington New City</w:t>
        </w:r>
      </w:hyperlink>
    </w:p>
    <w:p w14:paraId="65624C7B" w14:textId="77777777" w:rsidR="00A96CCD" w:rsidRDefault="00A96CCD" w:rsidP="00746B90">
      <w:pPr>
        <w:pStyle w:val="Heading1"/>
        <w:keepLines w:val="0"/>
        <w:numPr>
          <w:ilvl w:val="1"/>
          <w:numId w:val="4"/>
        </w:numPr>
        <w:spacing w:line="252" w:lineRule="auto"/>
        <w:jc w:val="both"/>
        <w:rPr>
          <w:rFonts w:eastAsia="Times New Roman"/>
        </w:rPr>
      </w:pPr>
      <w:bookmarkStart w:id="5" w:name="_Toc8293854"/>
      <w:r>
        <w:rPr>
          <w:rFonts w:eastAsia="Times New Roman"/>
        </w:rPr>
        <w:t>Local Industrial Strategy</w:t>
      </w:r>
      <w:bookmarkEnd w:id="5"/>
    </w:p>
    <w:p w14:paraId="071CF9A8" w14:textId="77777777" w:rsidR="00A96CCD" w:rsidRPr="00A96CCD" w:rsidRDefault="00A96CCD" w:rsidP="004C2295">
      <w:pPr>
        <w:jc w:val="both"/>
      </w:pPr>
      <w:r w:rsidRPr="00A96CCD">
        <w:t xml:space="preserve">Cheshire and Warrington </w:t>
      </w:r>
      <w:proofErr w:type="gramStart"/>
      <w:r w:rsidRPr="00A96CCD">
        <w:t>is</w:t>
      </w:r>
      <w:proofErr w:type="gramEnd"/>
      <w:r w:rsidRPr="00A96CCD">
        <w:t xml:space="preserve"> one of six LEPs selected to work with Government in the second wave of Local Industrial Strategy development. Work started in 2018/19 to develop a finer grain understanding of our economy, further developing the evidence base that was generated during the refresh of the </w:t>
      </w:r>
      <w:r w:rsidRPr="00A96CCD">
        <w:lastRenderedPageBreak/>
        <w:t xml:space="preserve">SEP. Work to look particularly at the productivity performance of our key sectors and understand some of the drivers, key challenges and major opportunities is also underway and will be re-enforced by a widespread programme of engagement with local businesses and key stakeholders. </w:t>
      </w:r>
    </w:p>
    <w:p w14:paraId="7DA255E1" w14:textId="204263E9" w:rsidR="00A96CCD" w:rsidRDefault="00A96CCD" w:rsidP="00746B90">
      <w:pPr>
        <w:pStyle w:val="Heading1"/>
        <w:keepLines w:val="0"/>
        <w:numPr>
          <w:ilvl w:val="1"/>
          <w:numId w:val="4"/>
        </w:numPr>
        <w:spacing w:line="252" w:lineRule="auto"/>
        <w:jc w:val="both"/>
        <w:rPr>
          <w:rFonts w:eastAsia="Times New Roman"/>
        </w:rPr>
      </w:pPr>
      <w:bookmarkStart w:id="6" w:name="_Toc8293855"/>
      <w:r>
        <w:rPr>
          <w:rFonts w:eastAsia="Times New Roman"/>
        </w:rPr>
        <w:t xml:space="preserve">Key </w:t>
      </w:r>
      <w:r w:rsidR="00000406">
        <w:rPr>
          <w:rFonts w:eastAsia="Times New Roman"/>
        </w:rPr>
        <w:t xml:space="preserve">Strategy Delivery </w:t>
      </w:r>
      <w:r>
        <w:rPr>
          <w:rFonts w:eastAsia="Times New Roman"/>
        </w:rPr>
        <w:t>Actions for 19/20</w:t>
      </w:r>
      <w:bookmarkEnd w:id="6"/>
    </w:p>
    <w:bookmarkEnd w:id="4"/>
    <w:p w14:paraId="347548E7" w14:textId="093EABFD" w:rsidR="00052C23" w:rsidRDefault="00B1667C" w:rsidP="00000406">
      <w:pPr>
        <w:jc w:val="both"/>
      </w:pPr>
      <w:r>
        <w:t>The key targets for the development of the LEP’s wider strategic agenda are:</w:t>
      </w:r>
    </w:p>
    <w:tbl>
      <w:tblPr>
        <w:tblW w:w="9072" w:type="dxa"/>
        <w:tblInd w:w="-10" w:type="dxa"/>
        <w:tblLayout w:type="fixed"/>
        <w:tblCellMar>
          <w:left w:w="0" w:type="dxa"/>
          <w:right w:w="0" w:type="dxa"/>
        </w:tblCellMar>
        <w:tblLook w:val="0420" w:firstRow="1" w:lastRow="0" w:firstColumn="0" w:lastColumn="0" w:noHBand="0" w:noVBand="1"/>
      </w:tblPr>
      <w:tblGrid>
        <w:gridCol w:w="7797"/>
        <w:gridCol w:w="1275"/>
      </w:tblGrid>
      <w:tr w:rsidR="00942B15" w:rsidRPr="00942B15" w14:paraId="1B1B6573" w14:textId="77777777" w:rsidTr="00AA21F7">
        <w:trPr>
          <w:trHeight w:val="584"/>
        </w:trPr>
        <w:tc>
          <w:tcPr>
            <w:tcW w:w="7797" w:type="dxa"/>
            <w:tcBorders>
              <w:top w:val="single" w:sz="8" w:space="0" w:color="FFFFFF"/>
              <w:left w:val="single" w:sz="8" w:space="0" w:color="FFFFFF"/>
              <w:bottom w:val="single" w:sz="24" w:space="0" w:color="FFFFFF"/>
              <w:right w:val="single" w:sz="8" w:space="0" w:color="FFFFFF"/>
            </w:tcBorders>
            <w:shd w:val="clear" w:color="auto" w:fill="DAE3F3"/>
            <w:tcMar>
              <w:top w:w="72" w:type="dxa"/>
              <w:left w:w="144" w:type="dxa"/>
              <w:bottom w:w="72" w:type="dxa"/>
              <w:right w:w="144" w:type="dxa"/>
            </w:tcMar>
            <w:hideMark/>
          </w:tcPr>
          <w:p w14:paraId="063D8DEA" w14:textId="77777777" w:rsidR="00942B15" w:rsidRPr="00942B15" w:rsidRDefault="00942B15" w:rsidP="00AA21F7">
            <w:pPr>
              <w:ind w:left="1296" w:hanging="1296"/>
              <w:jc w:val="both"/>
            </w:pPr>
            <w:r w:rsidRPr="00942B15">
              <w:t xml:space="preserve">1. Develop and publish the Local Industrial Strategy (LIS) for Cheshire &amp; Warrington </w:t>
            </w:r>
          </w:p>
        </w:tc>
        <w:tc>
          <w:tcPr>
            <w:tcW w:w="1275" w:type="dxa"/>
            <w:tcBorders>
              <w:top w:val="single" w:sz="8" w:space="0" w:color="FFFFFF"/>
              <w:left w:val="single" w:sz="8" w:space="0" w:color="FFFFFF"/>
              <w:bottom w:val="single" w:sz="24" w:space="0" w:color="FFFFFF"/>
              <w:right w:val="single" w:sz="8" w:space="0" w:color="FFFFFF"/>
            </w:tcBorders>
            <w:shd w:val="clear" w:color="auto" w:fill="DAE3F3"/>
            <w:tcMar>
              <w:top w:w="72" w:type="dxa"/>
              <w:left w:w="144" w:type="dxa"/>
              <w:bottom w:w="72" w:type="dxa"/>
              <w:right w:w="144" w:type="dxa"/>
            </w:tcMar>
            <w:hideMark/>
          </w:tcPr>
          <w:p w14:paraId="0279F0E6" w14:textId="77777777" w:rsidR="00942B15" w:rsidRPr="00942B15" w:rsidRDefault="00942B15" w:rsidP="00942B15">
            <w:pPr>
              <w:jc w:val="both"/>
            </w:pPr>
            <w:r w:rsidRPr="00942B15">
              <w:t>Q3</w:t>
            </w:r>
          </w:p>
        </w:tc>
      </w:tr>
      <w:tr w:rsidR="00942B15" w:rsidRPr="00942B15" w14:paraId="724E473C" w14:textId="77777777" w:rsidTr="00AA21F7">
        <w:trPr>
          <w:trHeight w:val="584"/>
        </w:trPr>
        <w:tc>
          <w:tcPr>
            <w:tcW w:w="779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0FA19C" w14:textId="77777777" w:rsidR="00942B15" w:rsidRPr="00942B15" w:rsidRDefault="00942B15" w:rsidP="00942B15">
            <w:pPr>
              <w:jc w:val="both"/>
            </w:pPr>
            <w:r w:rsidRPr="00942B15">
              <w:t xml:space="preserve">2. Develop and publish a delivery and investment plan for the LIS.  Delivery of early projects to commence in Q3 </w:t>
            </w:r>
          </w:p>
        </w:tc>
        <w:tc>
          <w:tcPr>
            <w:tcW w:w="127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B783F6" w14:textId="77777777" w:rsidR="00942B15" w:rsidRPr="00942B15" w:rsidRDefault="00942B15" w:rsidP="00942B15">
            <w:pPr>
              <w:jc w:val="both"/>
            </w:pPr>
            <w:r w:rsidRPr="00942B15">
              <w:t>Q4</w:t>
            </w:r>
          </w:p>
        </w:tc>
      </w:tr>
      <w:tr w:rsidR="00942B15" w:rsidRPr="00942B15" w14:paraId="7DC6E7A5" w14:textId="77777777" w:rsidTr="00AA21F7">
        <w:trPr>
          <w:trHeight w:val="584"/>
        </w:trPr>
        <w:tc>
          <w:tcPr>
            <w:tcW w:w="779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0FC4F4" w14:textId="7B0CEDED" w:rsidR="00942B15" w:rsidRPr="00942B15" w:rsidRDefault="00942B15" w:rsidP="00942B15">
            <w:pPr>
              <w:jc w:val="both"/>
            </w:pPr>
            <w:r w:rsidRPr="00942B15">
              <w:t xml:space="preserve">3. Complete the development and </w:t>
            </w:r>
            <w:r w:rsidR="004C2295" w:rsidRPr="00942B15">
              <w:t>publication of</w:t>
            </w:r>
            <w:r w:rsidRPr="00942B15">
              <w:t xml:space="preserve"> a Digital Strategy, including a Digital Infrastructure Plan</w:t>
            </w:r>
          </w:p>
        </w:tc>
        <w:tc>
          <w:tcPr>
            <w:tcW w:w="127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8039DBB" w14:textId="77777777" w:rsidR="00942B15" w:rsidRPr="00942B15" w:rsidRDefault="00942B15" w:rsidP="00942B15">
            <w:pPr>
              <w:jc w:val="both"/>
            </w:pPr>
            <w:r w:rsidRPr="00942B15">
              <w:t>Q1 &amp; Q3</w:t>
            </w:r>
          </w:p>
        </w:tc>
      </w:tr>
      <w:tr w:rsidR="00942B15" w:rsidRPr="00942B15" w14:paraId="22A6A44C" w14:textId="77777777" w:rsidTr="00AA21F7">
        <w:trPr>
          <w:trHeight w:val="584"/>
        </w:trPr>
        <w:tc>
          <w:tcPr>
            <w:tcW w:w="779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B1A78A" w14:textId="77777777" w:rsidR="00942B15" w:rsidRPr="00942B15" w:rsidRDefault="00942B15" w:rsidP="00942B15">
            <w:pPr>
              <w:jc w:val="both"/>
            </w:pPr>
            <w:r w:rsidRPr="00942B15">
              <w:t xml:space="preserve">4. Complete the development and publication of the LEP’s Science and Innovation Strategy and Delivery Plan. </w:t>
            </w:r>
          </w:p>
        </w:tc>
        <w:tc>
          <w:tcPr>
            <w:tcW w:w="127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754A0E" w14:textId="77777777" w:rsidR="00942B15" w:rsidRPr="00942B15" w:rsidRDefault="00942B15" w:rsidP="00942B15">
            <w:pPr>
              <w:jc w:val="both"/>
            </w:pPr>
            <w:r w:rsidRPr="00942B15">
              <w:t>Q1</w:t>
            </w:r>
          </w:p>
        </w:tc>
      </w:tr>
      <w:tr w:rsidR="00942B15" w:rsidRPr="00942B15" w14:paraId="18A838A3" w14:textId="77777777" w:rsidTr="00AA21F7">
        <w:trPr>
          <w:trHeight w:val="584"/>
        </w:trPr>
        <w:tc>
          <w:tcPr>
            <w:tcW w:w="779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F9CDB3" w14:textId="77777777" w:rsidR="00942B15" w:rsidRPr="00942B15" w:rsidRDefault="00942B15" w:rsidP="00942B15">
            <w:pPr>
              <w:jc w:val="both"/>
            </w:pPr>
            <w:r w:rsidRPr="00942B15">
              <w:t>5. Develop a strategic partnership with Homes England and the LAs to deliver our Housing Strategy in conjunction with the Sub Regional Leaders Board</w:t>
            </w:r>
          </w:p>
        </w:tc>
        <w:tc>
          <w:tcPr>
            <w:tcW w:w="127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5540EB" w14:textId="77777777" w:rsidR="00942B15" w:rsidRPr="00942B15" w:rsidRDefault="00942B15" w:rsidP="00942B15">
            <w:pPr>
              <w:jc w:val="both"/>
            </w:pPr>
            <w:r w:rsidRPr="00942B15">
              <w:t>Q4</w:t>
            </w:r>
          </w:p>
        </w:tc>
      </w:tr>
    </w:tbl>
    <w:p w14:paraId="2DDBCE1F" w14:textId="4B91C466" w:rsidR="0084473F" w:rsidRDefault="003F2853" w:rsidP="00746B90">
      <w:pPr>
        <w:pStyle w:val="Heading1"/>
        <w:numPr>
          <w:ilvl w:val="0"/>
          <w:numId w:val="1"/>
        </w:numPr>
        <w:jc w:val="both"/>
      </w:pPr>
      <w:bookmarkStart w:id="7" w:name="_Toc8293858"/>
      <w:r>
        <w:t>Delivery</w:t>
      </w:r>
      <w:r w:rsidR="0084473F" w:rsidRPr="00E442D8">
        <w:t xml:space="preserve"> in 19/20</w:t>
      </w:r>
      <w:bookmarkEnd w:id="7"/>
    </w:p>
    <w:p w14:paraId="61119A4F" w14:textId="43691D58" w:rsidR="00483324" w:rsidRPr="00483324" w:rsidRDefault="00E63B35" w:rsidP="00746B90">
      <w:pPr>
        <w:pStyle w:val="Heading1"/>
        <w:numPr>
          <w:ilvl w:val="1"/>
          <w:numId w:val="1"/>
        </w:numPr>
        <w:jc w:val="both"/>
      </w:pPr>
      <w:r>
        <w:t>Skills</w:t>
      </w:r>
      <w:r w:rsidR="0084746E">
        <w:t xml:space="preserve"> </w:t>
      </w:r>
    </w:p>
    <w:p w14:paraId="45DFD74E" w14:textId="6AC5FEE6" w:rsidR="00507A2E" w:rsidRPr="008978E0" w:rsidRDefault="00507A2E" w:rsidP="008978E0">
      <w:pPr>
        <w:pStyle w:val="Heading1"/>
        <w:numPr>
          <w:ilvl w:val="2"/>
          <w:numId w:val="1"/>
        </w:numPr>
        <w:jc w:val="both"/>
      </w:pPr>
      <w:bookmarkStart w:id="8" w:name="_Toc8293863"/>
      <w:r w:rsidRPr="008978E0">
        <w:t>P</w:t>
      </w:r>
      <w:r w:rsidR="004C2295" w:rsidRPr="008978E0">
        <w:t>ledge Network</w:t>
      </w:r>
      <w:bookmarkEnd w:id="8"/>
    </w:p>
    <w:p w14:paraId="3753A075" w14:textId="77777777" w:rsidR="00507A2E" w:rsidRPr="00E442D8" w:rsidRDefault="00507A2E" w:rsidP="00507A2E">
      <w:pPr>
        <w:spacing w:after="0" w:line="276" w:lineRule="auto"/>
        <w:jc w:val="both"/>
        <w:rPr>
          <w:rFonts w:eastAsia="Times New Roman" w:cstheme="minorHAnsi"/>
          <w:lang w:eastAsia="en-GB"/>
        </w:rPr>
      </w:pPr>
      <w:r w:rsidRPr="00E442D8">
        <w:rPr>
          <w:rFonts w:eastAsia="Times New Roman" w:cstheme="minorHAnsi"/>
          <w:lang w:eastAsia="en-GB"/>
        </w:rPr>
        <w:t xml:space="preserve">Early in 2018 we studied examples of good practice where employers were heavily involved in inspiring young people about new technologies and career opportunities.  The Crewe Pledge led by the South Cheshire Chamber was one of these good practice examples and following a series of discussions it was agreed that we should role out Pledges across Cheshire and Warrington. </w:t>
      </w:r>
    </w:p>
    <w:p w14:paraId="1E3F692B" w14:textId="77777777" w:rsidR="00507A2E" w:rsidRPr="00E442D8" w:rsidRDefault="00507A2E" w:rsidP="00507A2E">
      <w:pPr>
        <w:spacing w:after="0" w:line="276" w:lineRule="auto"/>
        <w:jc w:val="both"/>
        <w:rPr>
          <w:rFonts w:eastAsia="Times New Roman" w:cstheme="minorHAnsi"/>
          <w:lang w:eastAsia="en-GB"/>
        </w:rPr>
      </w:pPr>
    </w:p>
    <w:p w14:paraId="01B26719" w14:textId="1EC55D74" w:rsidR="00507A2E" w:rsidRPr="00E442D8" w:rsidRDefault="00507A2E" w:rsidP="00507A2E">
      <w:pPr>
        <w:spacing w:after="0" w:line="276" w:lineRule="auto"/>
        <w:jc w:val="both"/>
        <w:rPr>
          <w:rFonts w:eastAsia="Times New Roman" w:cstheme="minorHAnsi"/>
          <w:lang w:eastAsia="en-GB"/>
        </w:rPr>
      </w:pPr>
      <w:r w:rsidRPr="00E442D8">
        <w:rPr>
          <w:rFonts w:eastAsia="Times New Roman" w:cstheme="minorHAnsi"/>
          <w:lang w:eastAsia="en-GB"/>
        </w:rPr>
        <w:t xml:space="preserve">It was also agreed that as well as focusing on young people in school </w:t>
      </w:r>
      <w:r w:rsidR="00F332AA">
        <w:rPr>
          <w:rFonts w:eastAsia="Times New Roman" w:cstheme="minorHAnsi"/>
          <w:lang w:eastAsia="en-GB"/>
        </w:rPr>
        <w:t xml:space="preserve">the LEP </w:t>
      </w:r>
      <w:r w:rsidRPr="00E442D8">
        <w:rPr>
          <w:rFonts w:eastAsia="Times New Roman" w:cstheme="minorHAnsi"/>
          <w:lang w:eastAsia="en-GB"/>
        </w:rPr>
        <w:t xml:space="preserve">should also engage with young people in out of school activities run by various youth groups.  The Youth Federation agreed to help coordinate this work. </w:t>
      </w:r>
    </w:p>
    <w:p w14:paraId="3429E0B5" w14:textId="77777777" w:rsidR="00507A2E" w:rsidRPr="00E442D8" w:rsidRDefault="00507A2E" w:rsidP="00507A2E">
      <w:pPr>
        <w:spacing w:after="0" w:line="276" w:lineRule="auto"/>
        <w:jc w:val="both"/>
        <w:rPr>
          <w:rFonts w:eastAsia="Times New Roman" w:cstheme="minorHAnsi"/>
          <w:lang w:eastAsia="en-GB"/>
        </w:rPr>
      </w:pPr>
    </w:p>
    <w:p w14:paraId="459E4331" w14:textId="513FBC9A" w:rsidR="00507A2E" w:rsidRPr="00E442D8" w:rsidRDefault="00507A2E" w:rsidP="00507A2E">
      <w:pPr>
        <w:spacing w:after="0" w:line="276" w:lineRule="auto"/>
        <w:jc w:val="both"/>
        <w:rPr>
          <w:rFonts w:eastAsia="Times New Roman" w:cstheme="minorHAnsi"/>
          <w:lang w:eastAsia="en-GB"/>
        </w:rPr>
      </w:pPr>
      <w:r w:rsidRPr="00E442D8">
        <w:rPr>
          <w:rFonts w:eastAsia="Times New Roman" w:cstheme="minorHAnsi"/>
          <w:lang w:eastAsia="en-GB"/>
        </w:rPr>
        <w:t xml:space="preserve">After exploring different ways of </w:t>
      </w:r>
      <w:proofErr w:type="gramStart"/>
      <w:r w:rsidRPr="00E442D8">
        <w:rPr>
          <w:rFonts w:eastAsia="Times New Roman" w:cstheme="minorHAnsi"/>
          <w:lang w:eastAsia="en-GB"/>
        </w:rPr>
        <w:t>funding</w:t>
      </w:r>
      <w:proofErr w:type="gramEnd"/>
      <w:r w:rsidRPr="00E442D8">
        <w:rPr>
          <w:rFonts w:eastAsia="Times New Roman" w:cstheme="minorHAnsi"/>
          <w:lang w:eastAsia="en-GB"/>
        </w:rPr>
        <w:t xml:space="preserve"> the Pledge network, it was agreed that a bid for £1.1 million </w:t>
      </w:r>
      <w:r w:rsidR="0020187E">
        <w:rPr>
          <w:rFonts w:eastAsia="Times New Roman" w:cstheme="minorHAnsi"/>
          <w:lang w:eastAsia="en-GB"/>
        </w:rPr>
        <w:t xml:space="preserve">from the </w:t>
      </w:r>
      <w:r w:rsidRPr="00E442D8">
        <w:rPr>
          <w:rFonts w:eastAsia="Times New Roman" w:cstheme="minorHAnsi"/>
          <w:lang w:eastAsia="en-GB"/>
        </w:rPr>
        <w:t>European Social Fund</w:t>
      </w:r>
      <w:r w:rsidR="0020187E">
        <w:rPr>
          <w:rFonts w:eastAsia="Times New Roman" w:cstheme="minorHAnsi"/>
          <w:lang w:eastAsia="en-GB"/>
        </w:rPr>
        <w:t xml:space="preserve"> (ESF)</w:t>
      </w:r>
      <w:r w:rsidRPr="00E442D8">
        <w:rPr>
          <w:rFonts w:eastAsia="Times New Roman" w:cstheme="minorHAnsi"/>
          <w:lang w:eastAsia="en-GB"/>
        </w:rPr>
        <w:t xml:space="preserve"> should be </w:t>
      </w:r>
      <w:r w:rsidR="0020187E">
        <w:rPr>
          <w:rFonts w:eastAsia="Times New Roman" w:cstheme="minorHAnsi"/>
          <w:lang w:eastAsia="en-GB"/>
        </w:rPr>
        <w:t>submitted</w:t>
      </w:r>
      <w:r w:rsidRPr="00E442D8">
        <w:rPr>
          <w:rFonts w:eastAsia="Times New Roman" w:cstheme="minorHAnsi"/>
          <w:lang w:eastAsia="en-GB"/>
        </w:rPr>
        <w:t xml:space="preserve">. The Youth Federation agreed to lead the bid on behalf of local partners.  </w:t>
      </w:r>
    </w:p>
    <w:p w14:paraId="63848B8F" w14:textId="77777777" w:rsidR="00507A2E" w:rsidRPr="00E442D8" w:rsidRDefault="00507A2E" w:rsidP="00507A2E">
      <w:pPr>
        <w:spacing w:after="0" w:line="276" w:lineRule="auto"/>
        <w:jc w:val="both"/>
        <w:rPr>
          <w:rFonts w:eastAsia="Times New Roman" w:cstheme="minorHAnsi"/>
          <w:lang w:eastAsia="en-GB"/>
        </w:rPr>
      </w:pPr>
    </w:p>
    <w:p w14:paraId="6EEAE834" w14:textId="0E0CE593" w:rsidR="00507A2E" w:rsidRPr="00E442D8" w:rsidRDefault="00507A2E" w:rsidP="00507A2E">
      <w:pPr>
        <w:spacing w:after="0" w:line="276" w:lineRule="auto"/>
        <w:jc w:val="both"/>
        <w:rPr>
          <w:rFonts w:eastAsia="Times New Roman" w:cstheme="minorHAnsi"/>
          <w:lang w:eastAsia="en-GB"/>
        </w:rPr>
      </w:pPr>
      <w:r w:rsidRPr="00E442D8">
        <w:rPr>
          <w:rFonts w:eastAsia="Times New Roman" w:cstheme="minorHAnsi"/>
          <w:lang w:eastAsia="en-GB"/>
        </w:rPr>
        <w:t>The E</w:t>
      </w:r>
      <w:r w:rsidR="0020187E">
        <w:rPr>
          <w:rFonts w:eastAsia="Times New Roman" w:cstheme="minorHAnsi"/>
          <w:lang w:eastAsia="en-GB"/>
        </w:rPr>
        <w:t xml:space="preserve">SF funding </w:t>
      </w:r>
      <w:r w:rsidR="00483324">
        <w:rPr>
          <w:rFonts w:eastAsia="Times New Roman" w:cstheme="minorHAnsi"/>
          <w:lang w:eastAsia="en-GB"/>
        </w:rPr>
        <w:t>which was secured in q4 of 18/19</w:t>
      </w:r>
      <w:r w:rsidRPr="00E442D8">
        <w:rPr>
          <w:rFonts w:eastAsia="Times New Roman" w:cstheme="minorHAnsi"/>
          <w:lang w:eastAsia="en-GB"/>
        </w:rPr>
        <w:t xml:space="preserve"> </w:t>
      </w:r>
      <w:r w:rsidR="0020187E">
        <w:rPr>
          <w:rFonts w:eastAsia="Times New Roman" w:cstheme="minorHAnsi"/>
          <w:lang w:eastAsia="en-GB"/>
        </w:rPr>
        <w:t xml:space="preserve">and </w:t>
      </w:r>
      <w:r w:rsidR="00483324">
        <w:rPr>
          <w:rFonts w:eastAsia="Times New Roman" w:cstheme="minorHAnsi"/>
          <w:lang w:eastAsia="en-GB"/>
        </w:rPr>
        <w:t>has</w:t>
      </w:r>
      <w:r w:rsidRPr="00E442D8">
        <w:rPr>
          <w:rFonts w:eastAsia="Times New Roman" w:cstheme="minorHAnsi"/>
          <w:lang w:eastAsia="en-GB"/>
        </w:rPr>
        <w:t xml:space="preserve"> enable</w:t>
      </w:r>
      <w:r w:rsidR="00483324">
        <w:rPr>
          <w:rFonts w:eastAsia="Times New Roman" w:cstheme="minorHAnsi"/>
          <w:lang w:eastAsia="en-GB"/>
        </w:rPr>
        <w:t>d</w:t>
      </w:r>
      <w:r w:rsidRPr="00E442D8">
        <w:rPr>
          <w:rFonts w:eastAsia="Times New Roman" w:cstheme="minorHAnsi"/>
          <w:lang w:eastAsia="en-GB"/>
        </w:rPr>
        <w:t xml:space="preserve"> </w:t>
      </w:r>
      <w:r w:rsidR="00F332AA">
        <w:rPr>
          <w:rFonts w:eastAsia="Times New Roman" w:cstheme="minorHAnsi"/>
          <w:lang w:eastAsia="en-GB"/>
        </w:rPr>
        <w:t xml:space="preserve">the LEP </w:t>
      </w:r>
      <w:r w:rsidRPr="00E442D8">
        <w:rPr>
          <w:rFonts w:eastAsia="Times New Roman" w:cstheme="minorHAnsi"/>
          <w:lang w:eastAsia="en-GB"/>
        </w:rPr>
        <w:t xml:space="preserve">recruit a small team that will deliver a more comprehensive service to young people, their schools and youth workers.  In addition, we have secured a total of £100k funding from the Careers and Enterprise Company and Higher Horizons to enable us to fund an additional two Enterprise Coordinators who will work with the senior leadership teams in our secondary schools to help them develop career strategies and detailed delivery plans.  </w:t>
      </w:r>
      <w:r w:rsidR="00483324">
        <w:rPr>
          <w:rFonts w:eastAsia="Times New Roman" w:cstheme="minorHAnsi"/>
          <w:lang w:eastAsia="en-GB"/>
        </w:rPr>
        <w:t>This work will continue through 19/20.</w:t>
      </w:r>
    </w:p>
    <w:p w14:paraId="22503EB7" w14:textId="32978ADE" w:rsidR="00507A2E" w:rsidRDefault="00507A2E" w:rsidP="008978E0">
      <w:pPr>
        <w:pStyle w:val="Heading1"/>
        <w:numPr>
          <w:ilvl w:val="2"/>
          <w:numId w:val="1"/>
        </w:numPr>
        <w:jc w:val="both"/>
      </w:pPr>
      <w:bookmarkStart w:id="9" w:name="_Toc8293864"/>
      <w:r w:rsidRPr="008978E0">
        <w:t>V</w:t>
      </w:r>
      <w:r w:rsidR="004C2295" w:rsidRPr="008978E0">
        <w:t>irtual Institute of Technology</w:t>
      </w:r>
      <w:bookmarkEnd w:id="9"/>
    </w:p>
    <w:p w14:paraId="7B82A7FA" w14:textId="53F06A29" w:rsidR="00507A2E" w:rsidRPr="00E442D8" w:rsidRDefault="00F332AA" w:rsidP="00507A2E">
      <w:pPr>
        <w:spacing w:after="0" w:line="276" w:lineRule="auto"/>
        <w:jc w:val="both"/>
        <w:rPr>
          <w:rFonts w:cstheme="minorHAnsi"/>
        </w:rPr>
      </w:pPr>
      <w:r>
        <w:rPr>
          <w:rFonts w:cstheme="minorHAnsi"/>
        </w:rPr>
        <w:t xml:space="preserve">It was </w:t>
      </w:r>
      <w:r w:rsidR="00507A2E" w:rsidRPr="00E442D8">
        <w:rPr>
          <w:rFonts w:cstheme="minorHAnsi"/>
        </w:rPr>
        <w:t>agreed that once individuals</w:t>
      </w:r>
      <w:r>
        <w:rPr>
          <w:rFonts w:cstheme="minorHAnsi"/>
        </w:rPr>
        <w:t xml:space="preserve"> were</w:t>
      </w:r>
      <w:r w:rsidR="00507A2E" w:rsidRPr="00E442D8">
        <w:rPr>
          <w:rFonts w:cstheme="minorHAnsi"/>
        </w:rPr>
        <w:t xml:space="preserve"> making better informed decisions about the subjects they study and the training they undertake we also need to ensure we have the right curriculum and training offers available to them.</w:t>
      </w:r>
    </w:p>
    <w:p w14:paraId="5E73162F" w14:textId="77777777" w:rsidR="00507A2E" w:rsidRPr="00E442D8" w:rsidRDefault="00507A2E" w:rsidP="00507A2E">
      <w:pPr>
        <w:spacing w:after="0" w:line="276" w:lineRule="auto"/>
        <w:jc w:val="both"/>
        <w:rPr>
          <w:rFonts w:cstheme="minorHAnsi"/>
        </w:rPr>
      </w:pPr>
    </w:p>
    <w:p w14:paraId="0026E65D" w14:textId="77777777" w:rsidR="00507A2E" w:rsidRPr="00E442D8" w:rsidRDefault="00507A2E" w:rsidP="00507A2E">
      <w:pPr>
        <w:spacing w:after="0" w:line="276" w:lineRule="auto"/>
        <w:jc w:val="both"/>
        <w:rPr>
          <w:rFonts w:cstheme="minorHAnsi"/>
        </w:rPr>
      </w:pPr>
      <w:r w:rsidRPr="00E442D8">
        <w:rPr>
          <w:rFonts w:cstheme="minorHAnsi"/>
        </w:rPr>
        <w:t xml:space="preserve">As an initial focus of this work we agreed to concentrate on digital and STEM related skills.  From logistics, to automotive to financial services it was clear that Digital and Science, Technology, Engineering and Maths (STEM) skills are fundamental to our local employer’s needs. During </w:t>
      </w:r>
      <w:proofErr w:type="gramStart"/>
      <w:r w:rsidRPr="00E442D8">
        <w:rPr>
          <w:rFonts w:cstheme="minorHAnsi"/>
        </w:rPr>
        <w:t>a number of</w:t>
      </w:r>
      <w:proofErr w:type="gramEnd"/>
      <w:r w:rsidRPr="00E442D8">
        <w:rPr>
          <w:rFonts w:cstheme="minorHAnsi"/>
        </w:rPr>
        <w:t xml:space="preserve"> our meetings early in 2018 we identified Digital skills as a key, cross-cutting skills need that form the cornerstone of every business in every sector.  </w:t>
      </w:r>
    </w:p>
    <w:p w14:paraId="6F6036BA" w14:textId="77777777" w:rsidR="00507A2E" w:rsidRPr="00E442D8" w:rsidRDefault="00507A2E" w:rsidP="00507A2E">
      <w:pPr>
        <w:spacing w:after="0" w:line="276" w:lineRule="auto"/>
        <w:jc w:val="both"/>
        <w:rPr>
          <w:rFonts w:cstheme="minorHAnsi"/>
        </w:rPr>
      </w:pPr>
    </w:p>
    <w:p w14:paraId="59207F92" w14:textId="3E7FE441" w:rsidR="00507A2E" w:rsidRPr="00E442D8" w:rsidRDefault="00507A2E" w:rsidP="00507A2E">
      <w:pPr>
        <w:spacing w:after="0" w:line="276" w:lineRule="auto"/>
        <w:jc w:val="both"/>
        <w:rPr>
          <w:rFonts w:cstheme="minorHAnsi"/>
        </w:rPr>
      </w:pPr>
      <w:r w:rsidRPr="00E442D8">
        <w:rPr>
          <w:rFonts w:cstheme="minorHAnsi"/>
        </w:rPr>
        <w:t>In September a £29m outline bid to use E</w:t>
      </w:r>
      <w:r w:rsidR="0020187E">
        <w:rPr>
          <w:rFonts w:cstheme="minorHAnsi"/>
        </w:rPr>
        <w:t>SF</w:t>
      </w:r>
      <w:r w:rsidRPr="00E442D8">
        <w:rPr>
          <w:rFonts w:cstheme="minorHAnsi"/>
        </w:rPr>
        <w:t xml:space="preserve"> to pump-prime the Virtual Institute of Technology was submitted on behalf of local partners by the University of Chester.  To establish operational priorities the University will work with an employer-led Board, formed with the LEP. </w:t>
      </w:r>
    </w:p>
    <w:p w14:paraId="4ECAF1F5" w14:textId="77777777" w:rsidR="00507A2E" w:rsidRPr="00E442D8" w:rsidRDefault="00507A2E" w:rsidP="00507A2E">
      <w:pPr>
        <w:spacing w:after="0" w:line="276" w:lineRule="auto"/>
        <w:jc w:val="both"/>
        <w:rPr>
          <w:rFonts w:cstheme="minorHAnsi"/>
        </w:rPr>
      </w:pPr>
    </w:p>
    <w:p w14:paraId="6019E958" w14:textId="65B1DBDD" w:rsidR="00F332AA" w:rsidRDefault="00F332AA" w:rsidP="00507A2E">
      <w:pPr>
        <w:spacing w:after="0" w:line="276" w:lineRule="auto"/>
        <w:jc w:val="both"/>
        <w:rPr>
          <w:rFonts w:cstheme="minorHAnsi"/>
        </w:rPr>
      </w:pPr>
      <w:r>
        <w:rPr>
          <w:rFonts w:cstheme="minorHAnsi"/>
        </w:rPr>
        <w:lastRenderedPageBreak/>
        <w:t xml:space="preserve">A </w:t>
      </w:r>
      <w:r w:rsidR="00507A2E" w:rsidRPr="00E442D8">
        <w:rPr>
          <w:rFonts w:cstheme="minorHAnsi"/>
        </w:rPr>
        <w:t xml:space="preserve">detailed bid with a business plan </w:t>
      </w:r>
      <w:r>
        <w:rPr>
          <w:rFonts w:cstheme="minorHAnsi"/>
        </w:rPr>
        <w:t xml:space="preserve">has been </w:t>
      </w:r>
      <w:r w:rsidR="0020187E">
        <w:rPr>
          <w:rFonts w:cstheme="minorHAnsi"/>
        </w:rPr>
        <w:t>s</w:t>
      </w:r>
      <w:r>
        <w:rPr>
          <w:rFonts w:cstheme="minorHAnsi"/>
        </w:rPr>
        <w:t>ubmitted by the University of Chester and a decision is expected early 19/20</w:t>
      </w:r>
      <w:r w:rsidR="00507A2E" w:rsidRPr="00E442D8">
        <w:rPr>
          <w:rFonts w:cstheme="minorHAnsi"/>
        </w:rPr>
        <w:t xml:space="preserve">. Eighty percent of the European Social Funds will be matched with employer investments to deliver training packages that employers need with the remaining twenty percent to be spend on independent brokers who will work with groups of employers to aggregate demand as well as on developing new packages of training where needed.  </w:t>
      </w:r>
    </w:p>
    <w:p w14:paraId="412840C5" w14:textId="77777777" w:rsidR="00F332AA" w:rsidRDefault="00F332AA" w:rsidP="00507A2E">
      <w:pPr>
        <w:spacing w:after="0" w:line="276" w:lineRule="auto"/>
        <w:jc w:val="both"/>
        <w:rPr>
          <w:rFonts w:cstheme="minorHAnsi"/>
        </w:rPr>
      </w:pPr>
    </w:p>
    <w:p w14:paraId="5AB12FC0" w14:textId="74619C08" w:rsidR="00507A2E" w:rsidRPr="00E442D8" w:rsidRDefault="00F332AA" w:rsidP="00507A2E">
      <w:pPr>
        <w:spacing w:after="0" w:line="276" w:lineRule="auto"/>
        <w:jc w:val="both"/>
        <w:rPr>
          <w:rFonts w:cstheme="minorHAnsi"/>
        </w:rPr>
      </w:pPr>
      <w:r>
        <w:rPr>
          <w:rFonts w:cstheme="minorHAnsi"/>
        </w:rPr>
        <w:t>The</w:t>
      </w:r>
      <w:r w:rsidR="00507A2E" w:rsidRPr="00E442D8">
        <w:rPr>
          <w:rFonts w:cstheme="minorHAnsi"/>
        </w:rPr>
        <w:t xml:space="preserve"> aim is to start developing the skills packages employers need so that delivery can start as soon as the European Social Funds become available – hopefully in April 2019.</w:t>
      </w:r>
    </w:p>
    <w:p w14:paraId="5A81BA3B" w14:textId="77777777" w:rsidR="00507A2E" w:rsidRPr="00E442D8" w:rsidRDefault="00507A2E" w:rsidP="00507A2E">
      <w:pPr>
        <w:spacing w:after="0" w:line="276" w:lineRule="auto"/>
        <w:jc w:val="both"/>
        <w:rPr>
          <w:rFonts w:cstheme="minorHAnsi"/>
        </w:rPr>
      </w:pPr>
    </w:p>
    <w:p w14:paraId="3DD24F56" w14:textId="77777777" w:rsidR="00507A2E" w:rsidRPr="00E442D8" w:rsidRDefault="00507A2E" w:rsidP="00507A2E">
      <w:pPr>
        <w:spacing w:after="0" w:line="276" w:lineRule="auto"/>
        <w:jc w:val="both"/>
        <w:rPr>
          <w:rFonts w:cstheme="minorHAnsi"/>
        </w:rPr>
      </w:pPr>
      <w:r w:rsidRPr="00E442D8">
        <w:rPr>
          <w:rFonts w:cstheme="minorHAnsi"/>
        </w:rPr>
        <w:t xml:space="preserve">We have also agreed that the Virtual Institute of Technology will be embedded in the new Growth Hub so that the skills </w:t>
      </w:r>
      <w:proofErr w:type="gramStart"/>
      <w:r w:rsidRPr="00E442D8">
        <w:rPr>
          <w:rFonts w:cstheme="minorHAnsi"/>
        </w:rPr>
        <w:t>needs</w:t>
      </w:r>
      <w:proofErr w:type="gramEnd"/>
      <w:r w:rsidRPr="00E442D8">
        <w:rPr>
          <w:rFonts w:cstheme="minorHAnsi"/>
        </w:rPr>
        <w:t xml:space="preserve"> of our businesses will be addressed as part of a wider conversation about how to enable our local businesses to grow and prosper.</w:t>
      </w:r>
    </w:p>
    <w:p w14:paraId="483A7148" w14:textId="77777777" w:rsidR="00507A2E" w:rsidRPr="00E442D8" w:rsidRDefault="00507A2E" w:rsidP="00507A2E">
      <w:pPr>
        <w:spacing w:after="0" w:line="276" w:lineRule="auto"/>
        <w:jc w:val="both"/>
        <w:rPr>
          <w:rFonts w:cstheme="minorHAnsi"/>
        </w:rPr>
      </w:pPr>
    </w:p>
    <w:p w14:paraId="0518A53C" w14:textId="179DA570" w:rsidR="00507A2E" w:rsidRDefault="00507A2E" w:rsidP="00507A2E">
      <w:pPr>
        <w:spacing w:after="0" w:line="276" w:lineRule="auto"/>
        <w:jc w:val="both"/>
        <w:rPr>
          <w:rFonts w:cstheme="minorHAnsi"/>
        </w:rPr>
      </w:pPr>
      <w:r w:rsidRPr="00E442D8">
        <w:rPr>
          <w:rFonts w:cstheme="minorHAnsi"/>
        </w:rPr>
        <w:t>To further enhance the delivery of the digital skills that employers need, we prepared and submitted to Central Government an Expression of Interest in establishing a Digital Skills Partnership in Cheshire and Warrington.  This would provide us with an extra person for a year to help drive forward the development and delivery of digital skills across our area.  If we are successful, this will start in April 2019.</w:t>
      </w:r>
    </w:p>
    <w:p w14:paraId="15E08A2A" w14:textId="06D36BE5" w:rsidR="000525CF" w:rsidRDefault="000525CF" w:rsidP="00507A2E">
      <w:pPr>
        <w:spacing w:after="0" w:line="276" w:lineRule="auto"/>
        <w:jc w:val="both"/>
        <w:rPr>
          <w:rFonts w:cstheme="minorHAnsi"/>
        </w:rPr>
      </w:pPr>
    </w:p>
    <w:p w14:paraId="77DEE7C9" w14:textId="77777777" w:rsidR="000525CF" w:rsidRPr="00AD6FA7" w:rsidRDefault="000525CF" w:rsidP="00507A2E">
      <w:pPr>
        <w:spacing w:after="0" w:line="276" w:lineRule="auto"/>
        <w:jc w:val="both"/>
        <w:rPr>
          <w:rFonts w:cstheme="minorHAnsi"/>
        </w:rPr>
      </w:pPr>
    </w:p>
    <w:p w14:paraId="1D87AC9D" w14:textId="77777777" w:rsidR="00507A2E" w:rsidRPr="008978E0" w:rsidRDefault="00507A2E" w:rsidP="008978E0">
      <w:pPr>
        <w:pStyle w:val="Heading1"/>
        <w:numPr>
          <w:ilvl w:val="2"/>
          <w:numId w:val="1"/>
        </w:numPr>
        <w:jc w:val="both"/>
      </w:pPr>
      <w:bookmarkStart w:id="10" w:name="_Toc8293865"/>
      <w:r w:rsidRPr="008978E0">
        <w:t>Challenges for 2019</w:t>
      </w:r>
      <w:bookmarkEnd w:id="10"/>
    </w:p>
    <w:p w14:paraId="2F6F5306" w14:textId="18140F8C" w:rsidR="00507A2E" w:rsidRPr="00E442D8" w:rsidRDefault="00507A2E" w:rsidP="00507A2E">
      <w:pPr>
        <w:spacing w:after="0" w:line="276" w:lineRule="auto"/>
        <w:jc w:val="both"/>
        <w:rPr>
          <w:rFonts w:cstheme="minorHAnsi"/>
        </w:rPr>
      </w:pPr>
      <w:r w:rsidRPr="00E442D8">
        <w:rPr>
          <w:rFonts w:cstheme="minorHAnsi"/>
        </w:rPr>
        <w:t xml:space="preserve">We need to stay focused on ensuring the Pledge partnership and the Virtual Institute of Technology deliver the objectives that we have set. There </w:t>
      </w:r>
      <w:r w:rsidR="0020187E">
        <w:rPr>
          <w:rFonts w:cstheme="minorHAnsi"/>
        </w:rPr>
        <w:t>are</w:t>
      </w:r>
      <w:r w:rsidRPr="00E442D8">
        <w:rPr>
          <w:rFonts w:cstheme="minorHAnsi"/>
        </w:rPr>
        <w:t xml:space="preserve"> a range of different ways in which you or a member of your organisation can become involved in the governance and delivery of the Pledge network:</w:t>
      </w:r>
    </w:p>
    <w:p w14:paraId="5CD0ECA3" w14:textId="77777777" w:rsidR="00507A2E" w:rsidRPr="00E442D8" w:rsidRDefault="00507A2E" w:rsidP="00746B90">
      <w:pPr>
        <w:pStyle w:val="ListParagraph"/>
        <w:numPr>
          <w:ilvl w:val="0"/>
          <w:numId w:val="2"/>
        </w:numPr>
        <w:spacing w:after="0" w:line="276" w:lineRule="auto"/>
        <w:contextualSpacing w:val="0"/>
        <w:jc w:val="both"/>
        <w:rPr>
          <w:rFonts w:eastAsia="Times New Roman" w:cstheme="minorHAnsi"/>
        </w:rPr>
      </w:pPr>
      <w:r w:rsidRPr="00E442D8">
        <w:rPr>
          <w:rFonts w:eastAsia="Times New Roman" w:cstheme="minorHAnsi"/>
          <w:b/>
          <w:bCs/>
        </w:rPr>
        <w:t>Governance</w:t>
      </w:r>
      <w:r w:rsidRPr="00E442D8">
        <w:rPr>
          <w:rFonts w:eastAsia="Times New Roman" w:cstheme="minorHAnsi"/>
        </w:rPr>
        <w:t xml:space="preserve"> – membership of local Pledge Boards that oversee the delivery of the inspiration, information and communication programme of activities in different geographical areas across Cheshire and Warrington</w:t>
      </w:r>
    </w:p>
    <w:p w14:paraId="561312CA" w14:textId="77777777" w:rsidR="00507A2E" w:rsidRPr="00E442D8" w:rsidRDefault="00507A2E" w:rsidP="00746B90">
      <w:pPr>
        <w:pStyle w:val="ListParagraph"/>
        <w:numPr>
          <w:ilvl w:val="0"/>
          <w:numId w:val="2"/>
        </w:numPr>
        <w:spacing w:after="0" w:line="276" w:lineRule="auto"/>
        <w:contextualSpacing w:val="0"/>
        <w:jc w:val="both"/>
        <w:rPr>
          <w:rFonts w:eastAsia="Times New Roman" w:cstheme="minorHAnsi"/>
        </w:rPr>
      </w:pPr>
      <w:r w:rsidRPr="00E442D8">
        <w:rPr>
          <w:rFonts w:eastAsia="Times New Roman" w:cstheme="minorHAnsi"/>
          <w:b/>
          <w:bCs/>
        </w:rPr>
        <w:t>Working with the senior leadership teams in local schools and colleges</w:t>
      </w:r>
      <w:r w:rsidRPr="00E442D8">
        <w:rPr>
          <w:rFonts w:eastAsia="Times New Roman" w:cstheme="minorHAnsi"/>
        </w:rPr>
        <w:t> to advise the schools on developing and implementing careers strategies for their students  </w:t>
      </w:r>
    </w:p>
    <w:p w14:paraId="180228D5" w14:textId="7B7CE4A3" w:rsidR="00507A2E" w:rsidRPr="00B81893" w:rsidRDefault="00507A2E" w:rsidP="00746B90">
      <w:pPr>
        <w:pStyle w:val="ListParagraph"/>
        <w:numPr>
          <w:ilvl w:val="0"/>
          <w:numId w:val="2"/>
        </w:numPr>
        <w:spacing w:after="0" w:line="276" w:lineRule="auto"/>
        <w:contextualSpacing w:val="0"/>
        <w:jc w:val="both"/>
        <w:rPr>
          <w:rFonts w:eastAsia="Times New Roman" w:cstheme="minorHAnsi"/>
        </w:rPr>
      </w:pPr>
      <w:r w:rsidRPr="00E442D8">
        <w:rPr>
          <w:rFonts w:eastAsia="Times New Roman" w:cstheme="minorHAnsi"/>
          <w:b/>
          <w:bCs/>
        </w:rPr>
        <w:t>Getting involved in a programme of activities where you work directly with young people</w:t>
      </w:r>
      <w:r w:rsidRPr="00E442D8">
        <w:rPr>
          <w:rFonts w:eastAsia="Times New Roman" w:cstheme="minorHAnsi"/>
        </w:rPr>
        <w:t xml:space="preserve"> including: careers fairs, coaching and mentoring, work experience, apprenticeships, youth groups, etc.</w:t>
      </w:r>
    </w:p>
    <w:p w14:paraId="5FAC4624" w14:textId="5008BE28" w:rsidR="00F332AA" w:rsidRPr="0020187E" w:rsidRDefault="004C2295" w:rsidP="0020187E">
      <w:pPr>
        <w:pStyle w:val="Heading1"/>
        <w:numPr>
          <w:ilvl w:val="2"/>
          <w:numId w:val="1"/>
        </w:numPr>
        <w:jc w:val="both"/>
      </w:pPr>
      <w:bookmarkStart w:id="11" w:name="_Toc8293866"/>
      <w:r w:rsidRPr="008978E0">
        <w:t xml:space="preserve">Skills </w:t>
      </w:r>
      <w:r w:rsidR="00F332AA" w:rsidRPr="008978E0">
        <w:t>Key Actions for 19/20</w:t>
      </w:r>
      <w:bookmarkEnd w:id="11"/>
      <w:r w:rsidR="008140B1" w:rsidRPr="008978E0">
        <w:t xml:space="preserve"> </w:t>
      </w:r>
    </w:p>
    <w:p w14:paraId="6A99A384" w14:textId="1F14C853" w:rsidR="00E401E9" w:rsidRPr="00E401E9" w:rsidRDefault="0020187E" w:rsidP="0020187E">
      <w:pPr>
        <w:jc w:val="both"/>
        <w:rPr>
          <w:lang w:eastAsia="en-GB"/>
        </w:rPr>
      </w:pPr>
      <w:r>
        <w:rPr>
          <w:lang w:eastAsia="en-GB"/>
        </w:rPr>
        <w:t>The key targets to delivery of our ambitions for skills in Cheshire and Warrington are:</w:t>
      </w:r>
    </w:p>
    <w:tbl>
      <w:tblPr>
        <w:tblStyle w:val="GridTable6Colorful-Accent1"/>
        <w:tblW w:w="9062" w:type="dxa"/>
        <w:tblLook w:val="0420" w:firstRow="1" w:lastRow="0" w:firstColumn="0" w:lastColumn="0" w:noHBand="0" w:noVBand="1"/>
      </w:tblPr>
      <w:tblGrid>
        <w:gridCol w:w="8034"/>
        <w:gridCol w:w="1028"/>
      </w:tblGrid>
      <w:tr w:rsidR="004C2295" w:rsidRPr="004C2295" w14:paraId="37845E88" w14:textId="77777777" w:rsidTr="00BA0CB3">
        <w:trPr>
          <w:cnfStyle w:val="100000000000" w:firstRow="1" w:lastRow="0" w:firstColumn="0" w:lastColumn="0" w:oddVBand="0" w:evenVBand="0" w:oddHBand="0" w:evenHBand="0" w:firstRowFirstColumn="0" w:firstRowLastColumn="0" w:lastRowFirstColumn="0" w:lastRowLastColumn="0"/>
          <w:trHeight w:val="808"/>
        </w:trPr>
        <w:tc>
          <w:tcPr>
            <w:tcW w:w="8034" w:type="dxa"/>
            <w:hideMark/>
          </w:tcPr>
          <w:p w14:paraId="494634A6" w14:textId="77777777" w:rsidR="004C2295" w:rsidRPr="004C2295" w:rsidRDefault="004C2295" w:rsidP="004C2295">
            <w:pPr>
              <w:spacing w:line="259" w:lineRule="auto"/>
              <w:rPr>
                <w:b w:val="0"/>
                <w:color w:val="auto"/>
              </w:rPr>
            </w:pPr>
            <w:r w:rsidRPr="004C2295">
              <w:rPr>
                <w:b w:val="0"/>
                <w:color w:val="auto"/>
              </w:rPr>
              <w:t>1. Establish a Virtual Institute of Technology (subject to funding agreement)</w:t>
            </w:r>
          </w:p>
        </w:tc>
        <w:tc>
          <w:tcPr>
            <w:tcW w:w="1028" w:type="dxa"/>
            <w:hideMark/>
          </w:tcPr>
          <w:p w14:paraId="255E8E43" w14:textId="77777777" w:rsidR="004C2295" w:rsidRPr="004C2295" w:rsidRDefault="004C2295" w:rsidP="004C2295">
            <w:pPr>
              <w:spacing w:line="259" w:lineRule="auto"/>
              <w:rPr>
                <w:b w:val="0"/>
                <w:color w:val="auto"/>
              </w:rPr>
            </w:pPr>
            <w:r w:rsidRPr="004C2295">
              <w:rPr>
                <w:b w:val="0"/>
                <w:color w:val="auto"/>
              </w:rPr>
              <w:t>Q3</w:t>
            </w:r>
          </w:p>
        </w:tc>
      </w:tr>
      <w:tr w:rsidR="004C2295" w:rsidRPr="004C2295" w14:paraId="0621F3AE" w14:textId="77777777" w:rsidTr="00BA0CB3">
        <w:trPr>
          <w:cnfStyle w:val="000000100000" w:firstRow="0" w:lastRow="0" w:firstColumn="0" w:lastColumn="0" w:oddVBand="0" w:evenVBand="0" w:oddHBand="1" w:evenHBand="0" w:firstRowFirstColumn="0" w:firstRowLastColumn="0" w:lastRowFirstColumn="0" w:lastRowLastColumn="0"/>
          <w:trHeight w:val="1367"/>
        </w:trPr>
        <w:tc>
          <w:tcPr>
            <w:tcW w:w="8034" w:type="dxa"/>
            <w:hideMark/>
          </w:tcPr>
          <w:p w14:paraId="6C2B581A" w14:textId="77777777" w:rsidR="004C2295" w:rsidRPr="004C2295" w:rsidRDefault="004C2295" w:rsidP="004C2295">
            <w:pPr>
              <w:spacing w:line="259" w:lineRule="auto"/>
              <w:rPr>
                <w:color w:val="auto"/>
              </w:rPr>
            </w:pPr>
            <w:r w:rsidRPr="004C2295">
              <w:rPr>
                <w:color w:val="auto"/>
              </w:rPr>
              <w:lastRenderedPageBreak/>
              <w:t>2. Evolve the Employers’ Skills and Education Board into a Skills Advisory Panel (including Local Authority representation) that works with local training and education providers to deliver the Skills and Education Plan priorities and to ensure training and education reflects the needs of employers in Cheshire and Warrington and the wider economy</w:t>
            </w:r>
          </w:p>
        </w:tc>
        <w:tc>
          <w:tcPr>
            <w:tcW w:w="1028" w:type="dxa"/>
            <w:hideMark/>
          </w:tcPr>
          <w:p w14:paraId="55DFCF56" w14:textId="77777777" w:rsidR="004C2295" w:rsidRPr="004C2295" w:rsidRDefault="004C2295" w:rsidP="004C2295">
            <w:pPr>
              <w:spacing w:line="259" w:lineRule="auto"/>
              <w:rPr>
                <w:color w:val="auto"/>
              </w:rPr>
            </w:pPr>
            <w:r w:rsidRPr="004C2295">
              <w:rPr>
                <w:color w:val="auto"/>
              </w:rPr>
              <w:t>Q3</w:t>
            </w:r>
          </w:p>
        </w:tc>
      </w:tr>
      <w:tr w:rsidR="004C2295" w:rsidRPr="004C2295" w14:paraId="74055DBD" w14:textId="77777777" w:rsidTr="00BA0CB3">
        <w:tc>
          <w:tcPr>
            <w:tcW w:w="8034" w:type="dxa"/>
            <w:hideMark/>
          </w:tcPr>
          <w:p w14:paraId="5F8E2117" w14:textId="77777777" w:rsidR="004C2295" w:rsidRPr="004C2295" w:rsidRDefault="004C2295" w:rsidP="004C2295">
            <w:pPr>
              <w:spacing w:line="259" w:lineRule="auto"/>
              <w:rPr>
                <w:color w:val="auto"/>
              </w:rPr>
            </w:pPr>
            <w:r w:rsidRPr="004C2295">
              <w:rPr>
                <w:color w:val="auto"/>
              </w:rPr>
              <w:t>3. As a Digital Skills Partnership, produce a programme of work to ensure that digital skills are a key priority.  Recruit a Digital Skills Co-ordinator</w:t>
            </w:r>
          </w:p>
        </w:tc>
        <w:tc>
          <w:tcPr>
            <w:tcW w:w="1028" w:type="dxa"/>
            <w:hideMark/>
          </w:tcPr>
          <w:p w14:paraId="6A98691D" w14:textId="77777777" w:rsidR="004C2295" w:rsidRPr="004C2295" w:rsidRDefault="004C2295" w:rsidP="004C2295">
            <w:pPr>
              <w:spacing w:line="259" w:lineRule="auto"/>
              <w:rPr>
                <w:color w:val="auto"/>
              </w:rPr>
            </w:pPr>
            <w:r w:rsidRPr="004C2295">
              <w:rPr>
                <w:color w:val="auto"/>
              </w:rPr>
              <w:t>Q1</w:t>
            </w:r>
          </w:p>
        </w:tc>
      </w:tr>
      <w:tr w:rsidR="004C2295" w:rsidRPr="004C2295" w14:paraId="63047194" w14:textId="77777777" w:rsidTr="00BA0CB3">
        <w:trPr>
          <w:cnfStyle w:val="000000100000" w:firstRow="0" w:lastRow="0" w:firstColumn="0" w:lastColumn="0" w:oddVBand="0" w:evenVBand="0" w:oddHBand="1" w:evenHBand="0" w:firstRowFirstColumn="0" w:firstRowLastColumn="0" w:lastRowFirstColumn="0" w:lastRowLastColumn="0"/>
          <w:trHeight w:val="839"/>
        </w:trPr>
        <w:tc>
          <w:tcPr>
            <w:tcW w:w="8034" w:type="dxa"/>
            <w:hideMark/>
          </w:tcPr>
          <w:p w14:paraId="0CEA248F" w14:textId="46EFC94C" w:rsidR="004C2295" w:rsidRPr="004C2295" w:rsidRDefault="004C2295" w:rsidP="004C2295">
            <w:pPr>
              <w:spacing w:line="259" w:lineRule="auto"/>
              <w:rPr>
                <w:color w:val="auto"/>
              </w:rPr>
            </w:pPr>
            <w:r w:rsidRPr="004C2295">
              <w:rPr>
                <w:color w:val="auto"/>
              </w:rPr>
              <w:t>4. Agree priority investments to invest £</w:t>
            </w:r>
            <w:r w:rsidRPr="00BA0CB3">
              <w:rPr>
                <w:color w:val="auto"/>
              </w:rPr>
              <w:t>5</w:t>
            </w:r>
            <w:r w:rsidRPr="004C2295">
              <w:rPr>
                <w:color w:val="auto"/>
              </w:rPr>
              <w:t>m of Skills Capital funding</w:t>
            </w:r>
          </w:p>
        </w:tc>
        <w:tc>
          <w:tcPr>
            <w:tcW w:w="1028" w:type="dxa"/>
            <w:hideMark/>
          </w:tcPr>
          <w:p w14:paraId="0D893009" w14:textId="0F6AB366" w:rsidR="004C2295" w:rsidRPr="004C2295" w:rsidRDefault="004C2295" w:rsidP="004C2295">
            <w:pPr>
              <w:spacing w:line="259" w:lineRule="auto"/>
              <w:rPr>
                <w:color w:val="auto"/>
              </w:rPr>
            </w:pPr>
            <w:r w:rsidRPr="004C2295">
              <w:rPr>
                <w:color w:val="auto"/>
              </w:rPr>
              <w:t>Q2</w:t>
            </w:r>
          </w:p>
        </w:tc>
      </w:tr>
      <w:tr w:rsidR="004C2295" w:rsidRPr="004C2295" w14:paraId="20BB351F" w14:textId="77777777" w:rsidTr="00BA0CB3">
        <w:trPr>
          <w:trHeight w:val="783"/>
        </w:trPr>
        <w:tc>
          <w:tcPr>
            <w:tcW w:w="8034" w:type="dxa"/>
            <w:hideMark/>
          </w:tcPr>
          <w:p w14:paraId="3C863054" w14:textId="77777777" w:rsidR="004C2295" w:rsidRPr="004C2295" w:rsidRDefault="004C2295" w:rsidP="004C2295">
            <w:pPr>
              <w:spacing w:line="259" w:lineRule="auto"/>
              <w:rPr>
                <w:color w:val="auto"/>
              </w:rPr>
            </w:pPr>
            <w:r w:rsidRPr="004C2295">
              <w:rPr>
                <w:color w:val="auto"/>
              </w:rPr>
              <w:t>5. Develop and implement a skills and education stakeholder engagement plan</w:t>
            </w:r>
          </w:p>
        </w:tc>
        <w:tc>
          <w:tcPr>
            <w:tcW w:w="1028" w:type="dxa"/>
            <w:hideMark/>
          </w:tcPr>
          <w:p w14:paraId="02F8E022" w14:textId="77777777" w:rsidR="004C2295" w:rsidRPr="004C2295" w:rsidRDefault="004C2295" w:rsidP="004C2295">
            <w:pPr>
              <w:spacing w:line="259" w:lineRule="auto"/>
              <w:rPr>
                <w:color w:val="auto"/>
              </w:rPr>
            </w:pPr>
            <w:r w:rsidRPr="004C2295">
              <w:rPr>
                <w:color w:val="auto"/>
              </w:rPr>
              <w:t>Q3</w:t>
            </w:r>
          </w:p>
        </w:tc>
      </w:tr>
      <w:tr w:rsidR="004C2295" w:rsidRPr="004C2295" w14:paraId="6038082E" w14:textId="77777777" w:rsidTr="00BA0CB3">
        <w:trPr>
          <w:cnfStyle w:val="000000100000" w:firstRow="0" w:lastRow="0" w:firstColumn="0" w:lastColumn="0" w:oddVBand="0" w:evenVBand="0" w:oddHBand="1" w:evenHBand="0" w:firstRowFirstColumn="0" w:firstRowLastColumn="0" w:lastRowFirstColumn="0" w:lastRowLastColumn="0"/>
          <w:trHeight w:val="1269"/>
        </w:trPr>
        <w:tc>
          <w:tcPr>
            <w:tcW w:w="8034" w:type="dxa"/>
            <w:hideMark/>
          </w:tcPr>
          <w:p w14:paraId="48F1A5A7" w14:textId="77777777" w:rsidR="004C2295" w:rsidRPr="004C2295" w:rsidRDefault="004C2295" w:rsidP="004C2295">
            <w:pPr>
              <w:spacing w:line="259" w:lineRule="auto"/>
              <w:rPr>
                <w:color w:val="auto"/>
              </w:rPr>
            </w:pPr>
            <w:r w:rsidRPr="004C2295">
              <w:rPr>
                <w:color w:val="auto"/>
              </w:rPr>
              <w:t>6. Recruit Pledge Facilitators to establish and support 10 local Pledge Partnership Boards</w:t>
            </w:r>
          </w:p>
        </w:tc>
        <w:tc>
          <w:tcPr>
            <w:tcW w:w="1028" w:type="dxa"/>
            <w:hideMark/>
          </w:tcPr>
          <w:p w14:paraId="796CDBC5" w14:textId="77777777" w:rsidR="004C2295" w:rsidRPr="004C2295" w:rsidRDefault="004C2295" w:rsidP="004C2295">
            <w:pPr>
              <w:spacing w:line="259" w:lineRule="auto"/>
              <w:rPr>
                <w:color w:val="auto"/>
              </w:rPr>
            </w:pPr>
            <w:r w:rsidRPr="004C2295">
              <w:rPr>
                <w:color w:val="auto"/>
              </w:rPr>
              <w:t>Q4</w:t>
            </w:r>
          </w:p>
        </w:tc>
      </w:tr>
      <w:tr w:rsidR="004C2295" w:rsidRPr="004C2295" w14:paraId="26105347" w14:textId="77777777" w:rsidTr="00BA0CB3">
        <w:trPr>
          <w:trHeight w:val="1269"/>
        </w:trPr>
        <w:tc>
          <w:tcPr>
            <w:tcW w:w="8034" w:type="dxa"/>
            <w:hideMark/>
          </w:tcPr>
          <w:p w14:paraId="609EB10A" w14:textId="77777777" w:rsidR="004C2295" w:rsidRPr="004C2295" w:rsidRDefault="004C2295" w:rsidP="004C2295">
            <w:pPr>
              <w:spacing w:line="259" w:lineRule="auto"/>
              <w:rPr>
                <w:color w:val="auto"/>
              </w:rPr>
            </w:pPr>
            <w:r w:rsidRPr="004C2295">
              <w:rPr>
                <w:color w:val="auto"/>
              </w:rPr>
              <w:t>7. Programme to be reviewed and evaluated and a Future Strategy for Skills developed from it.</w:t>
            </w:r>
          </w:p>
        </w:tc>
        <w:tc>
          <w:tcPr>
            <w:tcW w:w="1028" w:type="dxa"/>
            <w:hideMark/>
          </w:tcPr>
          <w:p w14:paraId="42FAAECA" w14:textId="77777777" w:rsidR="004C2295" w:rsidRPr="004C2295" w:rsidRDefault="004C2295" w:rsidP="004C2295">
            <w:pPr>
              <w:spacing w:line="259" w:lineRule="auto"/>
              <w:rPr>
                <w:color w:val="auto"/>
              </w:rPr>
            </w:pPr>
            <w:r w:rsidRPr="004C2295">
              <w:rPr>
                <w:color w:val="auto"/>
              </w:rPr>
              <w:t>Q4</w:t>
            </w:r>
          </w:p>
        </w:tc>
      </w:tr>
    </w:tbl>
    <w:p w14:paraId="32E66C7C" w14:textId="77777777" w:rsidR="00507A2E" w:rsidRPr="00507A2E" w:rsidRDefault="00507A2E" w:rsidP="00507A2E"/>
    <w:p w14:paraId="50A67AA0" w14:textId="4F1F9873" w:rsidR="00CC6BE6" w:rsidRDefault="00CC6BE6" w:rsidP="00E63B35">
      <w:pPr>
        <w:pStyle w:val="Heading1"/>
        <w:numPr>
          <w:ilvl w:val="0"/>
          <w:numId w:val="1"/>
        </w:numPr>
        <w:jc w:val="both"/>
      </w:pPr>
      <w:bookmarkStart w:id="12" w:name="_Toc8293867"/>
      <w:r>
        <w:t>Business</w:t>
      </w:r>
      <w:r w:rsidR="00924BA2">
        <w:t xml:space="preserve"> Support</w:t>
      </w:r>
      <w:bookmarkEnd w:id="12"/>
    </w:p>
    <w:p w14:paraId="28013CBA" w14:textId="7FD2CB7F" w:rsidR="00F144D8" w:rsidRDefault="00F144D8" w:rsidP="00350ACD">
      <w:pPr>
        <w:jc w:val="both"/>
      </w:pPr>
      <w:r>
        <w:t>The Growth Hub which transferred to the LEP in October 2018 is designed to simplify the landscape to access support for all businesses while adding value to each business it engages. In order to achieve this and most importantly to achieve and demonstrate the impact the Growth Hub is having the LEP is working towards:</w:t>
      </w:r>
    </w:p>
    <w:p w14:paraId="528380C3" w14:textId="77777777" w:rsidR="00F144D8" w:rsidRDefault="00F144D8" w:rsidP="00746B90">
      <w:pPr>
        <w:pStyle w:val="ListParagraph"/>
        <w:numPr>
          <w:ilvl w:val="0"/>
          <w:numId w:val="6"/>
        </w:numPr>
        <w:jc w:val="both"/>
      </w:pPr>
      <w:r>
        <w:t>Clear and concise governance – the Growth Hub is managed by the LEP with intelligence fed in through a business support stakeholder group and overseen by the Business Growth Committee and LEP Board.</w:t>
      </w:r>
    </w:p>
    <w:p w14:paraId="19EFA6D6" w14:textId="77777777" w:rsidR="00F144D8" w:rsidRDefault="00F144D8" w:rsidP="00746B90">
      <w:pPr>
        <w:pStyle w:val="ListParagraph"/>
        <w:numPr>
          <w:ilvl w:val="0"/>
          <w:numId w:val="6"/>
        </w:numPr>
        <w:jc w:val="both"/>
      </w:pPr>
      <w:r>
        <w:t>Simple and accessible structure – A small team within the LEP but with presence across Cheshire and Warrington to ensure businesses from across the entire sub region have the same level of access to support.</w:t>
      </w:r>
    </w:p>
    <w:p w14:paraId="19E02C19" w14:textId="77777777" w:rsidR="00F144D8" w:rsidRDefault="00F144D8" w:rsidP="00746B90">
      <w:pPr>
        <w:pStyle w:val="ListParagraph"/>
        <w:numPr>
          <w:ilvl w:val="0"/>
          <w:numId w:val="6"/>
        </w:numPr>
        <w:jc w:val="both"/>
      </w:pPr>
      <w:r>
        <w:t>Collaborative approach incorporating the LEP, Local Authorities, Chambers, Universities and other relevant stakeholders and partners. This includes circular referrals, data sharing and a single access point to offer all businesses a clear and valuable experience.</w:t>
      </w:r>
    </w:p>
    <w:p w14:paraId="48087214" w14:textId="77777777" w:rsidR="00F144D8" w:rsidRDefault="00F144D8" w:rsidP="00350ACD">
      <w:pPr>
        <w:jc w:val="both"/>
      </w:pPr>
      <w:r>
        <w:t xml:space="preserve">The Cheshire and Warrington Growth Hub model is designed around account management of businesses who have received medium and high intensity engagement. This means building relationships with businesses to add genuine value to them through multiple engagements and brokerages and having the ability to report specific impacts through the governance process. </w:t>
      </w:r>
    </w:p>
    <w:p w14:paraId="070D4F8C" w14:textId="285C6D07" w:rsidR="00F144D8" w:rsidRDefault="00F144D8" w:rsidP="00350ACD">
      <w:pPr>
        <w:jc w:val="both"/>
      </w:pPr>
      <w:r>
        <w:t xml:space="preserve">BEIS monitor success by counting business engagements and positive feedback from businesses.  The LEP will go much further than that. Key to the success of the Growth Hub will be genuine growth of </w:t>
      </w:r>
      <w:r>
        <w:lastRenderedPageBreak/>
        <w:t>the businesses we support, this will be measured through many indicators that go beyond what historic ERDF and other publicly funded projects would require, including:</w:t>
      </w:r>
    </w:p>
    <w:p w14:paraId="24B15F04" w14:textId="77777777" w:rsidR="00F144D8" w:rsidRDefault="00F144D8" w:rsidP="00746B90">
      <w:pPr>
        <w:pStyle w:val="ListParagraph"/>
        <w:numPr>
          <w:ilvl w:val="0"/>
          <w:numId w:val="7"/>
        </w:numPr>
        <w:jc w:val="both"/>
      </w:pPr>
      <w:r>
        <w:t>Turnover and profit increases</w:t>
      </w:r>
    </w:p>
    <w:p w14:paraId="4396D5EC" w14:textId="77777777" w:rsidR="00F144D8" w:rsidRDefault="00F144D8" w:rsidP="00746B90">
      <w:pPr>
        <w:pStyle w:val="ListParagraph"/>
        <w:numPr>
          <w:ilvl w:val="0"/>
          <w:numId w:val="7"/>
        </w:numPr>
        <w:jc w:val="both"/>
      </w:pPr>
      <w:r>
        <w:t>Headcount</w:t>
      </w:r>
    </w:p>
    <w:p w14:paraId="0C99A4CA" w14:textId="77777777" w:rsidR="00F144D8" w:rsidRDefault="00F144D8" w:rsidP="00746B90">
      <w:pPr>
        <w:pStyle w:val="ListParagraph"/>
        <w:numPr>
          <w:ilvl w:val="0"/>
          <w:numId w:val="7"/>
        </w:numPr>
        <w:jc w:val="both"/>
      </w:pPr>
      <w:r>
        <w:t>R&amp;D Spend</w:t>
      </w:r>
    </w:p>
    <w:p w14:paraId="7D539BFE" w14:textId="77777777" w:rsidR="00F144D8" w:rsidRDefault="00F144D8" w:rsidP="00746B90">
      <w:pPr>
        <w:pStyle w:val="ListParagraph"/>
        <w:numPr>
          <w:ilvl w:val="0"/>
          <w:numId w:val="7"/>
        </w:numPr>
        <w:jc w:val="both"/>
      </w:pPr>
      <w:r>
        <w:t>New product development and launch</w:t>
      </w:r>
    </w:p>
    <w:p w14:paraId="0B944B79" w14:textId="77777777" w:rsidR="00F144D8" w:rsidRDefault="00F144D8" w:rsidP="00746B90">
      <w:pPr>
        <w:pStyle w:val="ListParagraph"/>
        <w:numPr>
          <w:ilvl w:val="0"/>
          <w:numId w:val="7"/>
        </w:numPr>
        <w:jc w:val="both"/>
      </w:pPr>
      <w:r>
        <w:t>New exports</w:t>
      </w:r>
    </w:p>
    <w:p w14:paraId="53201F85" w14:textId="77777777" w:rsidR="00F144D8" w:rsidRDefault="00F144D8" w:rsidP="00746B90">
      <w:pPr>
        <w:pStyle w:val="ListParagraph"/>
        <w:numPr>
          <w:ilvl w:val="0"/>
          <w:numId w:val="7"/>
        </w:numPr>
        <w:jc w:val="both"/>
      </w:pPr>
      <w:r>
        <w:t>Investment</w:t>
      </w:r>
    </w:p>
    <w:p w14:paraId="126624DC" w14:textId="77777777" w:rsidR="00F144D8" w:rsidRDefault="00F144D8" w:rsidP="00746B90">
      <w:pPr>
        <w:pStyle w:val="ListParagraph"/>
        <w:numPr>
          <w:ilvl w:val="0"/>
          <w:numId w:val="7"/>
        </w:numPr>
        <w:jc w:val="both"/>
      </w:pPr>
      <w:r>
        <w:t>Winning of new contracts and accessing new markets</w:t>
      </w:r>
    </w:p>
    <w:p w14:paraId="73A0C2D7" w14:textId="77777777" w:rsidR="00F144D8" w:rsidRDefault="00F144D8" w:rsidP="00746B90">
      <w:pPr>
        <w:pStyle w:val="ListParagraph"/>
        <w:numPr>
          <w:ilvl w:val="0"/>
          <w:numId w:val="7"/>
        </w:numPr>
        <w:jc w:val="both"/>
      </w:pPr>
      <w:r>
        <w:t>Footprint growth</w:t>
      </w:r>
    </w:p>
    <w:p w14:paraId="795FB7C6" w14:textId="77777777" w:rsidR="00F144D8" w:rsidRDefault="00F144D8" w:rsidP="00746B90">
      <w:pPr>
        <w:pStyle w:val="ListParagraph"/>
        <w:numPr>
          <w:ilvl w:val="0"/>
          <w:numId w:val="7"/>
        </w:numPr>
        <w:jc w:val="both"/>
      </w:pPr>
      <w:r>
        <w:t>Accessing new supply chains</w:t>
      </w:r>
    </w:p>
    <w:p w14:paraId="681A28EE" w14:textId="77777777" w:rsidR="00F144D8" w:rsidRDefault="00F144D8" w:rsidP="00350ACD">
      <w:pPr>
        <w:jc w:val="both"/>
      </w:pPr>
      <w:r>
        <w:t>By working with businesses to help them in these areas we can monitor the direct impact on them and the wider economy as well as achieving the aim of simplification and ease of access.</w:t>
      </w:r>
    </w:p>
    <w:p w14:paraId="4EA111FE" w14:textId="4874A6ED" w:rsidR="00F144D8" w:rsidRDefault="00F144D8" w:rsidP="00350ACD">
      <w:pPr>
        <w:jc w:val="both"/>
      </w:pPr>
      <w:r>
        <w:t>The mechanism to record this data is in place through the CRM system and the team are now ensuring that a baseline is established through the data recorded so far. This is an ongoing journey but through the work of the team we are already seeing higher levels of support at this early stage.</w:t>
      </w:r>
    </w:p>
    <w:p w14:paraId="143C2DD2" w14:textId="4B75B5F2" w:rsidR="00F144D8" w:rsidRDefault="00F144D8" w:rsidP="00350ACD">
      <w:pPr>
        <w:jc w:val="both"/>
      </w:pPr>
      <w:r>
        <w:t xml:space="preserve">As the Growth Hub is required to be a universal service, </w:t>
      </w:r>
      <w:r w:rsidR="00A23CD3">
        <w:t xml:space="preserve">staff </w:t>
      </w:r>
      <w:r>
        <w:t>also working towards upgrading the digital offer to give businesses who require signposting or other lower level interventions can access this easily and effectively through the website, but also maintaining the option to contact us direct if preferred. Through this upgrade and interaction with the CRM system we will be able to provide key data and support without the need to deploy significant resource allowing us to concentrate on the higher impact interventions.</w:t>
      </w:r>
    </w:p>
    <w:p w14:paraId="63B67E05" w14:textId="77777777" w:rsidR="00F144D8" w:rsidRDefault="00F144D8" w:rsidP="00350ACD">
      <w:pPr>
        <w:jc w:val="both"/>
      </w:pPr>
      <w:r>
        <w:t>The Growth Hub has been designed to provide businesses with a full service being the first port of call for any needs they may have. The smooth integration of The Pledge and Skills for Growth Programme is a hugely significant milestone towards achieving this. Providing business with a parallel service that provides skills and business support in one place will significantly enhance the ability of the Growth Hub to engage with businesses who have the potential, ability and ambition to grow.</w:t>
      </w:r>
    </w:p>
    <w:p w14:paraId="6B0D7083" w14:textId="77777777" w:rsidR="00F144D8" w:rsidRDefault="00F144D8" w:rsidP="00350ACD">
      <w:pPr>
        <w:jc w:val="both"/>
      </w:pPr>
      <w:r>
        <w:t>As the integration of the skills offer is key to the success of the model the team have made links with the accountable bodies and governance structure of these programmes and secured buy in into the model. Recruitment is under way for The Pledge programme and these staff will be fully integrated into the Growth Hub and use the same CRM system allowing seamless data sharing and business engagements resulting in the elimination of duplication and allowing businesses to receive the full wrap around service from one place.</w:t>
      </w:r>
    </w:p>
    <w:p w14:paraId="00709247" w14:textId="3E34BE5F" w:rsidR="00CE2D0F" w:rsidRDefault="004655CB" w:rsidP="00746B90">
      <w:pPr>
        <w:pStyle w:val="ListParagraph"/>
        <w:numPr>
          <w:ilvl w:val="1"/>
          <w:numId w:val="1"/>
        </w:numPr>
        <w:rPr>
          <w:rFonts w:eastAsiaTheme="majorEastAsia" w:cstheme="minorHAnsi"/>
          <w:color w:val="374C80" w:themeColor="accent1" w:themeShade="BF"/>
          <w:sz w:val="32"/>
          <w:szCs w:val="32"/>
        </w:rPr>
      </w:pPr>
      <w:r>
        <w:rPr>
          <w:rFonts w:eastAsiaTheme="majorEastAsia" w:cstheme="minorHAnsi"/>
          <w:color w:val="374C80" w:themeColor="accent1" w:themeShade="BF"/>
          <w:sz w:val="32"/>
          <w:szCs w:val="32"/>
        </w:rPr>
        <w:t>Business Support</w:t>
      </w:r>
      <w:r w:rsidR="00227E2E">
        <w:rPr>
          <w:rFonts w:eastAsiaTheme="majorEastAsia" w:cstheme="minorHAnsi"/>
          <w:color w:val="374C80" w:themeColor="accent1" w:themeShade="BF"/>
          <w:sz w:val="32"/>
          <w:szCs w:val="32"/>
        </w:rPr>
        <w:t xml:space="preserve"> and mentoring</w:t>
      </w:r>
      <w:r>
        <w:rPr>
          <w:rFonts w:eastAsiaTheme="majorEastAsia" w:cstheme="minorHAnsi"/>
          <w:color w:val="374C80" w:themeColor="accent1" w:themeShade="BF"/>
          <w:sz w:val="32"/>
          <w:szCs w:val="32"/>
        </w:rPr>
        <w:t xml:space="preserve"> </w:t>
      </w:r>
      <w:r w:rsidR="00F144D8" w:rsidRPr="004655CB">
        <w:rPr>
          <w:rFonts w:eastAsiaTheme="majorEastAsia" w:cstheme="minorHAnsi"/>
          <w:color w:val="374C80" w:themeColor="accent1" w:themeShade="BF"/>
          <w:sz w:val="32"/>
          <w:szCs w:val="32"/>
        </w:rPr>
        <w:t>Key Actions for 19/20</w:t>
      </w:r>
    </w:p>
    <w:p w14:paraId="0878080D" w14:textId="14EF28DC" w:rsidR="0020187E" w:rsidRPr="0020187E" w:rsidRDefault="0020187E" w:rsidP="0020187E">
      <w:r w:rsidRPr="0020187E">
        <w:t>Key targets for the LEP’s Business Support activity in 2019/20 are:</w:t>
      </w:r>
    </w:p>
    <w:tbl>
      <w:tblPr>
        <w:tblW w:w="8921" w:type="dxa"/>
        <w:tblCellMar>
          <w:left w:w="0" w:type="dxa"/>
          <w:right w:w="0" w:type="dxa"/>
        </w:tblCellMar>
        <w:tblLook w:val="0420" w:firstRow="1" w:lastRow="0" w:firstColumn="0" w:lastColumn="0" w:noHBand="0" w:noVBand="1"/>
      </w:tblPr>
      <w:tblGrid>
        <w:gridCol w:w="7928"/>
        <w:gridCol w:w="993"/>
      </w:tblGrid>
      <w:tr w:rsidR="00E57855" w:rsidRPr="00E57855" w14:paraId="735B6DB6" w14:textId="77777777" w:rsidTr="00350ACD">
        <w:tc>
          <w:tcPr>
            <w:tcW w:w="792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8273FA8" w14:textId="77777777" w:rsidR="00E57855" w:rsidRPr="00E57855" w:rsidRDefault="00E57855" w:rsidP="00E57855">
            <w:pPr>
              <w:rPr>
                <w:b/>
              </w:rPr>
            </w:pPr>
            <w:r w:rsidRPr="00E57855">
              <w:rPr>
                <w:b/>
                <w:bCs/>
              </w:rPr>
              <w:t>1. Specific Outputs to be achieved by end of 2019/20:</w:t>
            </w:r>
          </w:p>
          <w:p w14:paraId="44C210D5" w14:textId="77777777" w:rsidR="00E57855" w:rsidRPr="00E57855" w:rsidRDefault="00E57855" w:rsidP="00E57855">
            <w:r w:rsidRPr="00E57855">
              <w:rPr>
                <w:bCs/>
              </w:rPr>
              <w:lastRenderedPageBreak/>
              <w:t xml:space="preserve">1,350 Enquiries from individuals and businesses require support to start up and with </w:t>
            </w:r>
            <w:proofErr w:type="gramStart"/>
            <w:r w:rsidRPr="00E57855">
              <w:rPr>
                <w:bCs/>
              </w:rPr>
              <w:t>growth  (</w:t>
            </w:r>
            <w:proofErr w:type="gramEnd"/>
            <w:r w:rsidRPr="00E57855">
              <w:rPr>
                <w:bCs/>
              </w:rPr>
              <w:t>150 businesses are scale-ups with the aspiration and potential to deliver significant turnover growth over the next 3 year period of at least 50%):</w:t>
            </w:r>
          </w:p>
          <w:p w14:paraId="640C9E6F" w14:textId="77777777" w:rsidR="00E57855" w:rsidRPr="00E57855" w:rsidRDefault="00E57855" w:rsidP="00E57855">
            <w:r w:rsidRPr="00E57855">
              <w:rPr>
                <w:bCs/>
              </w:rPr>
              <w:t>•</w:t>
            </w:r>
            <w:r w:rsidRPr="00E57855">
              <w:rPr>
                <w:bCs/>
              </w:rPr>
              <w:tab/>
              <w:t xml:space="preserve">450 businesses and individuals supported – low intensity support (circa </w:t>
            </w:r>
            <w:proofErr w:type="gramStart"/>
            <w:r w:rsidRPr="00E57855">
              <w:rPr>
                <w:bCs/>
              </w:rPr>
              <w:t>1 hour</w:t>
            </w:r>
            <w:proofErr w:type="gramEnd"/>
            <w:r w:rsidRPr="00E57855">
              <w:rPr>
                <w:bCs/>
              </w:rPr>
              <w:t xml:space="preserve"> support)</w:t>
            </w:r>
          </w:p>
          <w:p w14:paraId="5326E71C" w14:textId="77777777" w:rsidR="00E57855" w:rsidRPr="00E57855" w:rsidRDefault="00E57855" w:rsidP="00E57855">
            <w:r w:rsidRPr="00E57855">
              <w:rPr>
                <w:bCs/>
              </w:rPr>
              <w:t>•</w:t>
            </w:r>
            <w:r w:rsidRPr="00E57855">
              <w:rPr>
                <w:bCs/>
              </w:rPr>
              <w:tab/>
              <w:t>800 businesses – medium intensity support (Information Diagnostic and Brokerage)</w:t>
            </w:r>
          </w:p>
          <w:p w14:paraId="167CEE66" w14:textId="77777777" w:rsidR="00E57855" w:rsidRPr="00E57855" w:rsidRDefault="00E57855" w:rsidP="00E57855">
            <w:r w:rsidRPr="00E57855">
              <w:rPr>
                <w:bCs/>
              </w:rPr>
              <w:t>•</w:t>
            </w:r>
            <w:r w:rsidRPr="00E57855">
              <w:rPr>
                <w:bCs/>
              </w:rPr>
              <w:tab/>
              <w:t>100 businesses – high intensity support (Over 12 hours)</w:t>
            </w:r>
          </w:p>
          <w:p w14:paraId="51D26EA2" w14:textId="77777777" w:rsidR="00E57855" w:rsidRPr="00E57855" w:rsidRDefault="00E57855" w:rsidP="00E57855">
            <w:r w:rsidRPr="00E57855">
              <w:rPr>
                <w:bCs/>
              </w:rPr>
              <w:t>660 Businesses being signposted and referred to a business support programme/s</w:t>
            </w:r>
          </w:p>
          <w:p w14:paraId="10EB23CE" w14:textId="77777777" w:rsidR="00E57855" w:rsidRPr="00E57855" w:rsidRDefault="00E57855" w:rsidP="00E57855">
            <w:r w:rsidRPr="00E57855">
              <w:rPr>
                <w:bCs/>
              </w:rPr>
              <w:t>330 of the referrals made successfully progressing onto a business support programme/s</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7C95F58" w14:textId="77777777" w:rsidR="00E57855" w:rsidRPr="00E57855" w:rsidRDefault="00E57855" w:rsidP="00E57855">
            <w:r w:rsidRPr="00E57855">
              <w:rPr>
                <w:bCs/>
              </w:rPr>
              <w:lastRenderedPageBreak/>
              <w:t>Q4</w:t>
            </w:r>
          </w:p>
        </w:tc>
      </w:tr>
      <w:tr w:rsidR="00E57855" w:rsidRPr="00E57855" w14:paraId="06E28F5F" w14:textId="77777777" w:rsidTr="00350ACD">
        <w:trPr>
          <w:trHeight w:val="584"/>
        </w:trPr>
        <w:tc>
          <w:tcPr>
            <w:tcW w:w="792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58CC88B" w14:textId="77777777" w:rsidR="00E57855" w:rsidRPr="00E57855" w:rsidRDefault="00E57855" w:rsidP="00E57855">
            <w:r w:rsidRPr="00E57855">
              <w:t>2. Establish the Business Growth Committee to oversee the Growth &amp; Skills Hub</w:t>
            </w:r>
          </w:p>
        </w:tc>
        <w:tc>
          <w:tcPr>
            <w:tcW w:w="99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F645DA" w14:textId="77777777" w:rsidR="00E57855" w:rsidRPr="00E57855" w:rsidRDefault="00E57855" w:rsidP="00E57855">
            <w:r w:rsidRPr="00E57855">
              <w:t>Q1</w:t>
            </w:r>
          </w:p>
        </w:tc>
      </w:tr>
      <w:tr w:rsidR="00E57855" w:rsidRPr="00E57855" w14:paraId="6DB44FBA"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A2D474" w14:textId="77777777" w:rsidR="00E57855" w:rsidRPr="00E57855" w:rsidRDefault="00E57855" w:rsidP="00E57855">
            <w:r w:rsidRPr="00E57855">
              <w:t>3. Develop and launch a new website</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DBD2EAC" w14:textId="77777777" w:rsidR="00E57855" w:rsidRPr="00E57855" w:rsidRDefault="00E57855" w:rsidP="00E57855">
            <w:r w:rsidRPr="00E57855">
              <w:t>Q2</w:t>
            </w:r>
          </w:p>
        </w:tc>
      </w:tr>
      <w:tr w:rsidR="00E57855" w:rsidRPr="00E57855" w14:paraId="4656F11E"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638B35" w14:textId="77777777" w:rsidR="00E57855" w:rsidRPr="00E57855" w:rsidRDefault="00E57855" w:rsidP="00E57855">
            <w:r w:rsidRPr="00E57855">
              <w:t>4. Deliver Account Management for Foreign Owned businesses landing 6 projects during 2019/20 and trade/investment advice to 50 companies</w:t>
            </w:r>
          </w:p>
        </w:tc>
        <w:tc>
          <w:tcPr>
            <w:tcW w:w="9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E034D0" w14:textId="77777777" w:rsidR="00E57855" w:rsidRPr="00E57855" w:rsidRDefault="00E57855" w:rsidP="00E57855">
            <w:r w:rsidRPr="00E57855">
              <w:t>Q4</w:t>
            </w:r>
          </w:p>
        </w:tc>
      </w:tr>
      <w:tr w:rsidR="00E57855" w:rsidRPr="00E57855" w14:paraId="23D18780"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06CF8C6" w14:textId="77777777" w:rsidR="00E57855" w:rsidRPr="00E57855" w:rsidRDefault="00E57855" w:rsidP="00E57855">
            <w:r w:rsidRPr="00E57855">
              <w:t>5. Develop a CRM system to support the day to day operation of the Growth Hub and inform the LEP’s policy development work</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F90747C" w14:textId="77777777" w:rsidR="00E57855" w:rsidRPr="00E57855" w:rsidRDefault="00E57855" w:rsidP="00E57855">
            <w:r w:rsidRPr="00E57855">
              <w:t>Q1</w:t>
            </w:r>
          </w:p>
        </w:tc>
      </w:tr>
      <w:tr w:rsidR="00E57855" w:rsidRPr="00E57855" w14:paraId="03CFD338"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47F3CC" w14:textId="77777777" w:rsidR="00E57855" w:rsidRPr="00E57855" w:rsidRDefault="00E57855" w:rsidP="00E57855">
            <w:r w:rsidRPr="00E57855">
              <w:t>6. Develop an inspirational programme of events engaging 82 SMEs, with Enterprise Co-ordinators working with 40 schools and engaging 3,050 young people</w:t>
            </w:r>
          </w:p>
        </w:tc>
        <w:tc>
          <w:tcPr>
            <w:tcW w:w="9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6098B9" w14:textId="77777777" w:rsidR="00E57855" w:rsidRPr="00E57855" w:rsidRDefault="00E57855" w:rsidP="00E57855">
            <w:r w:rsidRPr="00E57855">
              <w:t>Q4</w:t>
            </w:r>
          </w:p>
        </w:tc>
      </w:tr>
      <w:tr w:rsidR="00E57855" w:rsidRPr="00E57855" w14:paraId="123FB8F0"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E6AEEF" w14:textId="77777777" w:rsidR="00E57855" w:rsidRPr="00E57855" w:rsidRDefault="00E57855" w:rsidP="00E57855">
            <w:r w:rsidRPr="00E57855">
              <w:t>7. Deliver relevant training packages to employees (numbers dependant on level of ESF support)</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AD1EB60" w14:textId="77777777" w:rsidR="00E57855" w:rsidRPr="00E57855" w:rsidRDefault="00E57855" w:rsidP="00E57855">
            <w:r w:rsidRPr="00E57855">
              <w:t>Q4</w:t>
            </w:r>
          </w:p>
        </w:tc>
      </w:tr>
      <w:tr w:rsidR="00E57855" w:rsidRPr="00E57855" w14:paraId="436FD725" w14:textId="77777777" w:rsidTr="00350ACD">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A69ACB" w14:textId="77777777" w:rsidR="00E57855" w:rsidRPr="00E57855" w:rsidRDefault="00E57855" w:rsidP="00E57855">
            <w:r w:rsidRPr="00E57855">
              <w:t>8. Develop a programme and secure funding for activity which connects with more mature people, the disadvantaged and encompasses digital inclusion.</w:t>
            </w:r>
          </w:p>
        </w:tc>
        <w:tc>
          <w:tcPr>
            <w:tcW w:w="9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8D1BC9" w14:textId="77777777" w:rsidR="00E57855" w:rsidRPr="00E57855" w:rsidRDefault="00E57855" w:rsidP="00E57855">
            <w:r w:rsidRPr="00E57855">
              <w:t>Q4</w:t>
            </w:r>
          </w:p>
        </w:tc>
      </w:tr>
    </w:tbl>
    <w:p w14:paraId="43F5113A" w14:textId="77777777" w:rsidR="00924BA2" w:rsidRPr="00CE2D0F" w:rsidRDefault="00924BA2" w:rsidP="00CE2D0F"/>
    <w:p w14:paraId="5613860B" w14:textId="04830184" w:rsidR="0084746E" w:rsidRPr="00AD6FA7" w:rsidRDefault="0084746E" w:rsidP="00E63B35">
      <w:pPr>
        <w:pStyle w:val="Heading1"/>
        <w:numPr>
          <w:ilvl w:val="0"/>
          <w:numId w:val="1"/>
        </w:numPr>
        <w:jc w:val="both"/>
      </w:pPr>
      <w:bookmarkStart w:id="13" w:name="_Toc8293868"/>
      <w:r>
        <w:rPr>
          <w:rFonts w:asciiTheme="minorHAnsi" w:hAnsiTheme="minorHAnsi" w:cstheme="minorHAnsi"/>
        </w:rPr>
        <w:t>Infrastructure</w:t>
      </w:r>
      <w:bookmarkEnd w:id="13"/>
    </w:p>
    <w:p w14:paraId="076FF8FC" w14:textId="77777777" w:rsidR="00FD50DC" w:rsidRPr="00890099" w:rsidRDefault="00FD50DC" w:rsidP="00FD50DC">
      <w:pPr>
        <w:rPr>
          <w:b/>
        </w:rPr>
      </w:pPr>
      <w:r w:rsidRPr="00890099">
        <w:rPr>
          <w:b/>
        </w:rPr>
        <w:t>Infrastructure</w:t>
      </w:r>
    </w:p>
    <w:p w14:paraId="6DAF92D7" w14:textId="348C0D5B" w:rsidR="00FD50DC" w:rsidRDefault="00FD50DC" w:rsidP="007A76C5">
      <w:pPr>
        <w:jc w:val="both"/>
      </w:pPr>
      <w:r>
        <w:t xml:space="preserve">The main priority for 2019/20 is to develop a pipeline of infrastructure schemes to support the emerging priorities of the Local Industrial Strategy (LIS).  The LEP does not have </w:t>
      </w:r>
      <w:proofErr w:type="gramStart"/>
      <w:r>
        <w:t>sufficient</w:t>
      </w:r>
      <w:proofErr w:type="gramEnd"/>
      <w:r>
        <w:t xml:space="preserve"> funding available to directly deliver schemes however we have allocated £400,000 per annum over the next three years to support the development of scheme business cases.  We will, therefore work with the </w:t>
      </w:r>
      <w:r>
        <w:lastRenderedPageBreak/>
        <w:t xml:space="preserve">three </w:t>
      </w:r>
      <w:r w:rsidR="007A76C5">
        <w:t>L</w:t>
      </w:r>
      <w:r>
        <w:t xml:space="preserve">ocal </w:t>
      </w:r>
      <w:r w:rsidR="007A76C5">
        <w:t>A</w:t>
      </w:r>
      <w:r>
        <w:t>uthorities to prioritise development of business cases for schemes that support the LIS priorities and have a good chance of attracting funding from central government for scheme delivery.</w:t>
      </w:r>
    </w:p>
    <w:p w14:paraId="78328F95" w14:textId="77777777" w:rsidR="00921B11" w:rsidRDefault="00921B11" w:rsidP="007A76C5">
      <w:pPr>
        <w:jc w:val="both"/>
      </w:pPr>
      <w:r>
        <w:t>Other priorities for 2019/20 include:</w:t>
      </w:r>
    </w:p>
    <w:p w14:paraId="46BB3A85" w14:textId="77777777" w:rsidR="00921B11" w:rsidRDefault="00921B11" w:rsidP="00746B90">
      <w:pPr>
        <w:pStyle w:val="ListParagraph"/>
        <w:numPr>
          <w:ilvl w:val="0"/>
          <w:numId w:val="16"/>
        </w:numPr>
        <w:jc w:val="both"/>
      </w:pPr>
      <w:r w:rsidRPr="00FC6C96">
        <w:rPr>
          <w:b/>
        </w:rPr>
        <w:t>Supporting the delivery of Crewe Hub</w:t>
      </w:r>
      <w:r>
        <w:t xml:space="preserve"> - </w:t>
      </w:r>
      <w:r w:rsidRPr="00FC6C96">
        <w:t>continue to engage with DfT, HS2 and the rail industry to ensure that Crewe Hub is delivered in a way which allows us to achieve our ambitions on sub-regional connectivity in order to maximise the benefits of HS2.</w:t>
      </w:r>
    </w:p>
    <w:p w14:paraId="17C0CFAB" w14:textId="77777777" w:rsidR="00921B11" w:rsidRDefault="00921B11" w:rsidP="00746B90">
      <w:pPr>
        <w:pStyle w:val="ListParagraph"/>
        <w:numPr>
          <w:ilvl w:val="0"/>
          <w:numId w:val="16"/>
        </w:numPr>
        <w:jc w:val="both"/>
      </w:pPr>
      <w:r w:rsidRPr="00FC6C96">
        <w:rPr>
          <w:b/>
        </w:rPr>
        <w:t>Continuing Engagement with HS2 and Northern Powerhouse Rail</w:t>
      </w:r>
      <w:r>
        <w:t xml:space="preserve"> - </w:t>
      </w:r>
      <w:r w:rsidRPr="00FC6C96">
        <w:t>As with Crewe Hub it will be important to continue to engage with DfT, HS2 and the rail industry to ensure that the sub-region maximises the benefits of HS2 and minimises its environmental impact.  This also includes the need to ensure that a station is provided at Manchester Airport to improve access to the airport and the development opportunities in its vicinity plus ensuring that HS2 provides additional capacity together with Northern Powerhouse Rail (NPR) to ensure that growth in the area is not constrained.</w:t>
      </w:r>
    </w:p>
    <w:p w14:paraId="3434512B" w14:textId="70C5EF87" w:rsidR="007A76C5" w:rsidRDefault="00921B11" w:rsidP="00746B90">
      <w:pPr>
        <w:pStyle w:val="ListParagraph"/>
        <w:numPr>
          <w:ilvl w:val="0"/>
          <w:numId w:val="16"/>
        </w:numPr>
        <w:jc w:val="both"/>
      </w:pPr>
      <w:r w:rsidRPr="00FC6C96">
        <w:rPr>
          <w:b/>
        </w:rPr>
        <w:t>Developing a Bus Strategy</w:t>
      </w:r>
      <w:r>
        <w:t xml:space="preserve"> - </w:t>
      </w:r>
      <w:r w:rsidRPr="00FC6C96">
        <w:t>The aim of the Bus Strategy will be to identify how we can collectively improve the quality and frequency of public transport links to and from key locations such as educational institutions, places of work, hospitals, and towns and cities. It will seek to identify opportunities to reduce the need to transfer between bus services across the network where possible, but where a change is necessary it will look at how the quality of integration and interchange can be improved.  A key component of the strategy will be to identify measures which are affordable to deliver</w:t>
      </w:r>
      <w:r>
        <w:t>,</w:t>
      </w:r>
      <w:r w:rsidRPr="00FC6C96">
        <w:t xml:space="preserve"> and which will attract additional usage to make services sustainable over the long-term. It will also need to identify solutions which accommodate older users, particularly those experiencing isolation.</w:t>
      </w:r>
    </w:p>
    <w:p w14:paraId="7482F331" w14:textId="327A924E" w:rsidR="004771A1" w:rsidRDefault="004771A1" w:rsidP="004771A1">
      <w:pPr>
        <w:jc w:val="both"/>
      </w:pPr>
      <w:r>
        <w:t>The LEP’s key targets for the development of C&amp;W’s infrastructure in 2019/20 are:</w:t>
      </w:r>
    </w:p>
    <w:tbl>
      <w:tblPr>
        <w:tblW w:w="9062" w:type="dxa"/>
        <w:tblCellMar>
          <w:left w:w="0" w:type="dxa"/>
          <w:right w:w="0" w:type="dxa"/>
        </w:tblCellMar>
        <w:tblLook w:val="0420" w:firstRow="1" w:lastRow="0" w:firstColumn="0" w:lastColumn="0" w:noHBand="0" w:noVBand="1"/>
      </w:tblPr>
      <w:tblGrid>
        <w:gridCol w:w="7928"/>
        <w:gridCol w:w="1134"/>
      </w:tblGrid>
      <w:tr w:rsidR="004771A1" w:rsidRPr="007A76C5" w14:paraId="5786CC6C" w14:textId="77777777" w:rsidTr="00835A97">
        <w:trPr>
          <w:trHeight w:val="584"/>
        </w:trPr>
        <w:tc>
          <w:tcPr>
            <w:tcW w:w="7928" w:type="dxa"/>
            <w:tcBorders>
              <w:top w:val="single" w:sz="24"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C7E5A76" w14:textId="77777777" w:rsidR="004771A1" w:rsidRPr="007A76C5" w:rsidRDefault="004771A1" w:rsidP="00835A97">
            <w:r w:rsidRPr="007A76C5">
              <w:t xml:space="preserve">1. </w:t>
            </w:r>
            <w:r>
              <w:t>Work with partners to p</w:t>
            </w:r>
            <w:r w:rsidRPr="007A76C5">
              <w:t>roduce initial business cases for the key infrastructure projects identified in the Strategic Transport Plan to include, transport, broadband/IT and services (e.g. water and electricity)</w:t>
            </w:r>
          </w:p>
        </w:tc>
        <w:tc>
          <w:tcPr>
            <w:tcW w:w="1134" w:type="dxa"/>
            <w:tcBorders>
              <w:top w:val="single" w:sz="24"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66122F5" w14:textId="77777777" w:rsidR="004771A1" w:rsidRPr="007A76C5" w:rsidRDefault="004771A1" w:rsidP="00835A97">
            <w:r w:rsidRPr="007A76C5">
              <w:t>Q3</w:t>
            </w:r>
          </w:p>
        </w:tc>
      </w:tr>
      <w:tr w:rsidR="004771A1" w:rsidRPr="007A76C5" w14:paraId="68495F7E" w14:textId="77777777" w:rsidTr="00835A97">
        <w:trPr>
          <w:trHeight w:val="584"/>
        </w:trPr>
        <w:tc>
          <w:tcPr>
            <w:tcW w:w="7928" w:type="dxa"/>
            <w:tcBorders>
              <w:top w:val="single" w:sz="24"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tcPr>
          <w:p w14:paraId="695D26A5" w14:textId="77777777" w:rsidR="004771A1" w:rsidRPr="007A76C5" w:rsidRDefault="004771A1" w:rsidP="00835A97">
            <w:r w:rsidRPr="007A76C5">
              <w:t>2. Develop a Bus Strategy</w:t>
            </w:r>
            <w:r>
              <w:t xml:space="preserve"> which fits in with Local Authority Transport Plans </w:t>
            </w:r>
          </w:p>
        </w:tc>
        <w:tc>
          <w:tcPr>
            <w:tcW w:w="1134" w:type="dxa"/>
            <w:tcBorders>
              <w:top w:val="single" w:sz="24"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tcPr>
          <w:p w14:paraId="35A078DC" w14:textId="77777777" w:rsidR="004771A1" w:rsidRPr="007A76C5" w:rsidRDefault="004771A1" w:rsidP="00835A97">
            <w:r w:rsidRPr="007A76C5">
              <w:t>Q2</w:t>
            </w:r>
          </w:p>
        </w:tc>
      </w:tr>
      <w:tr w:rsidR="004771A1" w:rsidRPr="007A76C5" w14:paraId="461EB8A1"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1E1613A" w14:textId="77777777" w:rsidR="004771A1" w:rsidRPr="007A76C5" w:rsidRDefault="004771A1" w:rsidP="00835A97">
            <w:r w:rsidRPr="007A76C5">
              <w:t>3. Develop a strategic outline business case for re-opening Middlewich rail Line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5BE2F6" w14:textId="77777777" w:rsidR="004771A1" w:rsidRPr="007A76C5" w:rsidRDefault="004771A1" w:rsidP="00835A97">
            <w:r w:rsidRPr="007A76C5">
              <w:t>Q1</w:t>
            </w:r>
          </w:p>
        </w:tc>
      </w:tr>
      <w:tr w:rsidR="004771A1" w:rsidRPr="007A76C5" w14:paraId="7920F720"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239DDA59" w14:textId="77777777" w:rsidR="004771A1" w:rsidRPr="007A76C5" w:rsidRDefault="004771A1" w:rsidP="00835A97">
            <w:r w:rsidRPr="007A76C5">
              <w:t>4. Work with CEC and other sub-regional partners to ensure Crewe operates as a genuine HS2 hub station, enabling easy, quick connections to the rest of C&amp;W and beyond.</w:t>
            </w:r>
          </w:p>
        </w:tc>
        <w:tc>
          <w:tcPr>
            <w:tcW w:w="1134"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79CE4459" w14:textId="77777777" w:rsidR="004771A1" w:rsidRPr="007A76C5" w:rsidRDefault="004771A1" w:rsidP="00835A97">
            <w:r w:rsidRPr="007A76C5">
              <w:t>Q3</w:t>
            </w:r>
          </w:p>
        </w:tc>
      </w:tr>
      <w:tr w:rsidR="004771A1" w:rsidRPr="007A76C5" w14:paraId="48C633A2"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0B57CF1" w14:textId="77777777" w:rsidR="004771A1" w:rsidRPr="007A76C5" w:rsidRDefault="004771A1" w:rsidP="00835A97">
            <w:r w:rsidRPr="007A76C5">
              <w:t>5. Influence Transport for the North to reflect the sub-regional priorities</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D86D5D5" w14:textId="77777777" w:rsidR="004771A1" w:rsidRPr="007A76C5" w:rsidRDefault="004771A1" w:rsidP="00835A97">
            <w:r w:rsidRPr="007A76C5">
              <w:t>ongoing</w:t>
            </w:r>
          </w:p>
        </w:tc>
      </w:tr>
      <w:tr w:rsidR="004771A1" w:rsidRPr="007A76C5" w14:paraId="66811855"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76B79854" w14:textId="77777777" w:rsidR="004771A1" w:rsidRPr="007A76C5" w:rsidRDefault="004771A1" w:rsidP="00835A97">
            <w:r w:rsidRPr="007A76C5">
              <w:t xml:space="preserve">6. Ensure continued successful delivery of projects in the LGF programme, achieving spend of </w:t>
            </w:r>
            <w:r>
              <w:t xml:space="preserve">at least </w:t>
            </w:r>
            <w:r w:rsidRPr="007A76C5">
              <w:t>£16 million</w:t>
            </w:r>
          </w:p>
        </w:tc>
        <w:tc>
          <w:tcPr>
            <w:tcW w:w="1134"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7C5BBD7B" w14:textId="77777777" w:rsidR="004771A1" w:rsidRPr="007A76C5" w:rsidRDefault="004771A1" w:rsidP="00835A97">
            <w:r w:rsidRPr="007A76C5">
              <w:t>Q4</w:t>
            </w:r>
          </w:p>
        </w:tc>
      </w:tr>
      <w:tr w:rsidR="004771A1" w:rsidRPr="007A76C5" w14:paraId="07855625"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18F7071" w14:textId="77777777" w:rsidR="004771A1" w:rsidRPr="007A76C5" w:rsidRDefault="004771A1" w:rsidP="00835A97">
            <w:r w:rsidRPr="007A76C5">
              <w:t>7. Put in place a £1m investment programme to develop the region’s energy infrastructure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D94051" w14:textId="77777777" w:rsidR="004771A1" w:rsidRPr="007A76C5" w:rsidRDefault="004771A1" w:rsidP="00835A97">
            <w:r w:rsidRPr="007A76C5">
              <w:t>Q2</w:t>
            </w:r>
          </w:p>
        </w:tc>
      </w:tr>
      <w:tr w:rsidR="004771A1" w:rsidRPr="007A76C5" w14:paraId="4E4AAE4D"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21468C0E" w14:textId="77777777" w:rsidR="004771A1" w:rsidRPr="007A76C5" w:rsidRDefault="004771A1" w:rsidP="00835A97">
            <w:r w:rsidRPr="007A76C5">
              <w:t xml:space="preserve">8. Ensure Growing Places Loan Fund is fully deployed to support the development of the C&amp;W economy </w:t>
            </w:r>
          </w:p>
        </w:tc>
        <w:tc>
          <w:tcPr>
            <w:tcW w:w="1134" w:type="dxa"/>
            <w:tcBorders>
              <w:top w:val="single" w:sz="8" w:space="0" w:color="FFFFFF"/>
              <w:left w:val="single" w:sz="8" w:space="0" w:color="FFFFFF"/>
              <w:bottom w:val="single" w:sz="8" w:space="0" w:color="FFFFFF"/>
              <w:right w:val="single" w:sz="8" w:space="0" w:color="FFFFFF"/>
            </w:tcBorders>
            <w:shd w:val="clear" w:color="auto" w:fill="D9DFEF" w:themeFill="accent1" w:themeFillTint="33"/>
            <w:tcMar>
              <w:top w:w="72" w:type="dxa"/>
              <w:left w:w="144" w:type="dxa"/>
              <w:bottom w:w="72" w:type="dxa"/>
              <w:right w:w="144" w:type="dxa"/>
            </w:tcMar>
            <w:hideMark/>
          </w:tcPr>
          <w:p w14:paraId="2A77BAEC" w14:textId="77777777" w:rsidR="004771A1" w:rsidRPr="007A76C5" w:rsidRDefault="004771A1" w:rsidP="00835A97">
            <w:r w:rsidRPr="007A76C5">
              <w:t>ongoing</w:t>
            </w:r>
          </w:p>
        </w:tc>
      </w:tr>
      <w:tr w:rsidR="004771A1" w:rsidRPr="007A76C5" w14:paraId="22C4F9AB" w14:textId="77777777" w:rsidTr="00835A97">
        <w:trPr>
          <w:trHeight w:val="584"/>
        </w:trPr>
        <w:tc>
          <w:tcPr>
            <w:tcW w:w="79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0D8D27" w14:textId="77777777" w:rsidR="004771A1" w:rsidRPr="007A76C5" w:rsidRDefault="004771A1" w:rsidP="00835A97">
            <w:r w:rsidRPr="007A76C5">
              <w:t>9. Secure an extra £20 million of Evergreen funding</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CECC816" w14:textId="77777777" w:rsidR="004771A1" w:rsidRPr="007A76C5" w:rsidRDefault="004771A1" w:rsidP="00835A97">
            <w:r w:rsidRPr="007A76C5">
              <w:t>Q2</w:t>
            </w:r>
          </w:p>
        </w:tc>
      </w:tr>
    </w:tbl>
    <w:p w14:paraId="43597E8A" w14:textId="77777777" w:rsidR="004771A1" w:rsidRPr="007A76C5" w:rsidRDefault="004771A1" w:rsidP="004771A1">
      <w:pPr>
        <w:jc w:val="both"/>
      </w:pPr>
    </w:p>
    <w:p w14:paraId="59A75364" w14:textId="630BB1E0" w:rsidR="0084746E" w:rsidRPr="0084746E" w:rsidRDefault="0084746E" w:rsidP="00E63B35">
      <w:pPr>
        <w:pStyle w:val="Heading1"/>
        <w:numPr>
          <w:ilvl w:val="0"/>
          <w:numId w:val="1"/>
        </w:numPr>
        <w:jc w:val="both"/>
      </w:pPr>
      <w:bookmarkStart w:id="14" w:name="_Toc8293869"/>
      <w:r>
        <w:t>Local Growth Fund</w:t>
      </w:r>
      <w:bookmarkEnd w:id="14"/>
    </w:p>
    <w:p w14:paraId="130DBC7C" w14:textId="6BC71D66" w:rsidR="0084473F" w:rsidRPr="00996926" w:rsidRDefault="007465AE" w:rsidP="00FA1CB4">
      <w:pPr>
        <w:jc w:val="both"/>
      </w:pPr>
      <w:r w:rsidRPr="00996926">
        <w:t xml:space="preserve">Moving into the </w:t>
      </w:r>
      <w:r w:rsidR="00EA09C4" w:rsidRPr="00996926">
        <w:t>fourth year of the LGF programme the LEP only has three of the originally approved projects left to contract.  As at the end of 1</w:t>
      </w:r>
      <w:r w:rsidR="00D12366" w:rsidRPr="00996926">
        <w:t>8/19</w:t>
      </w:r>
      <w:r w:rsidR="006F136A" w:rsidRPr="00996926">
        <w:t xml:space="preserve"> </w:t>
      </w:r>
      <w:r w:rsidR="00EA09C4" w:rsidRPr="00996926">
        <w:t>the LEP had spent £</w:t>
      </w:r>
      <w:r w:rsidR="007A76C5" w:rsidRPr="00996926">
        <w:t>90</w:t>
      </w:r>
      <w:r w:rsidR="00EA09C4" w:rsidRPr="00996926">
        <w:t>m of the £201m LGF allocation.</w:t>
      </w:r>
    </w:p>
    <w:p w14:paraId="111B6449" w14:textId="65238417" w:rsidR="00DD28F7" w:rsidRPr="00996926" w:rsidRDefault="00DD28F7" w:rsidP="00FA1CB4">
      <w:pPr>
        <w:jc w:val="both"/>
      </w:pPr>
      <w:r w:rsidRPr="00996926">
        <w:t>19/20 i</w:t>
      </w:r>
      <w:r w:rsidR="007A76C5" w:rsidRPr="00996926">
        <w:t>s</w:t>
      </w:r>
      <w:r w:rsidRPr="00996926">
        <w:t xml:space="preserve"> the penultimate year of the LGF programme.  Most projects have now been through the approval process and are in delivery with 12 projects now completed with LGF grant support of £55m towards the overall project costs of £127m.</w:t>
      </w:r>
    </w:p>
    <w:p w14:paraId="332D55CC" w14:textId="23DF123C" w:rsidR="00996926" w:rsidRDefault="00DD28F7" w:rsidP="00FA1CB4">
      <w:pPr>
        <w:jc w:val="both"/>
      </w:pPr>
      <w:r w:rsidRPr="00996926">
        <w:t xml:space="preserve">The </w:t>
      </w:r>
      <w:proofErr w:type="gramStart"/>
      <w:r w:rsidRPr="00996926">
        <w:t>main focus</w:t>
      </w:r>
      <w:proofErr w:type="gramEnd"/>
      <w:r w:rsidRPr="00996926">
        <w:t xml:space="preserve"> of 19/20 will be to contract the remaining projects and continue to monitor </w:t>
      </w:r>
      <w:r w:rsidR="007A76C5" w:rsidRPr="00996926">
        <w:t xml:space="preserve">and push </w:t>
      </w:r>
      <w:r w:rsidRPr="00996926">
        <w:t>those projects that are in delivery.</w:t>
      </w:r>
    </w:p>
    <w:p w14:paraId="3FCB5E6A" w14:textId="77F1E172" w:rsidR="008978E0" w:rsidRDefault="008978E0" w:rsidP="00FA1CB4">
      <w:pPr>
        <w:jc w:val="both"/>
      </w:pPr>
    </w:p>
    <w:p w14:paraId="1562C38F" w14:textId="1340DC78" w:rsidR="008978E0" w:rsidRDefault="008978E0" w:rsidP="00E63B35">
      <w:pPr>
        <w:pStyle w:val="Heading1"/>
        <w:numPr>
          <w:ilvl w:val="1"/>
          <w:numId w:val="18"/>
        </w:numPr>
        <w:jc w:val="both"/>
      </w:pPr>
      <w:r>
        <w:t>Local Growth Fund Outputs</w:t>
      </w:r>
    </w:p>
    <w:p w14:paraId="524FDD9E" w14:textId="734B1CCF" w:rsidR="008978E0" w:rsidRDefault="008978E0" w:rsidP="008978E0">
      <w:r>
        <w:t>The LGF programme is expected to deliver the following key outputs in 19/20:</w:t>
      </w:r>
    </w:p>
    <w:tbl>
      <w:tblPr>
        <w:tblW w:w="9118" w:type="dxa"/>
        <w:tblLook w:val="04A0" w:firstRow="1" w:lastRow="0" w:firstColumn="1" w:lastColumn="0" w:noHBand="0" w:noVBand="1"/>
      </w:tblPr>
      <w:tblGrid>
        <w:gridCol w:w="4200"/>
        <w:gridCol w:w="1400"/>
        <w:gridCol w:w="1229"/>
        <w:gridCol w:w="1238"/>
        <w:gridCol w:w="1051"/>
      </w:tblGrid>
      <w:tr w:rsidR="00BC402E" w:rsidRPr="008978E0" w14:paraId="2E0564D0" w14:textId="77777777" w:rsidTr="00BC402E">
        <w:trPr>
          <w:trHeight w:val="870"/>
        </w:trPr>
        <w:tc>
          <w:tcPr>
            <w:tcW w:w="4200" w:type="dxa"/>
            <w:tcBorders>
              <w:top w:val="single" w:sz="4" w:space="0" w:color="auto"/>
              <w:left w:val="single" w:sz="4" w:space="0" w:color="auto"/>
              <w:bottom w:val="single" w:sz="4" w:space="0" w:color="auto"/>
              <w:right w:val="single" w:sz="4" w:space="0" w:color="auto"/>
            </w:tcBorders>
            <w:shd w:val="clear" w:color="auto" w:fill="85B2F6" w:themeFill="background2" w:themeFillShade="E6"/>
            <w:noWrap/>
            <w:vAlign w:val="center"/>
            <w:hideMark/>
          </w:tcPr>
          <w:p w14:paraId="4C1348F4" w14:textId="77777777" w:rsidR="00BC402E" w:rsidRPr="008978E0" w:rsidRDefault="00BC402E" w:rsidP="008978E0">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Outputs</w:t>
            </w:r>
          </w:p>
        </w:tc>
        <w:tc>
          <w:tcPr>
            <w:tcW w:w="1400" w:type="dxa"/>
            <w:tcBorders>
              <w:top w:val="single" w:sz="4" w:space="0" w:color="auto"/>
              <w:left w:val="nil"/>
              <w:bottom w:val="single" w:sz="4" w:space="0" w:color="auto"/>
              <w:right w:val="single" w:sz="4" w:space="0" w:color="auto"/>
            </w:tcBorders>
            <w:shd w:val="clear" w:color="auto" w:fill="85B2F6" w:themeFill="background2" w:themeFillShade="E6"/>
            <w:noWrap/>
            <w:vAlign w:val="center"/>
            <w:hideMark/>
          </w:tcPr>
          <w:p w14:paraId="1AE2A165" w14:textId="77777777" w:rsidR="00BC402E" w:rsidRPr="008978E0" w:rsidRDefault="00BC402E" w:rsidP="008978E0">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BEIS Target</w:t>
            </w:r>
          </w:p>
        </w:tc>
        <w:tc>
          <w:tcPr>
            <w:tcW w:w="1229" w:type="dxa"/>
            <w:tcBorders>
              <w:top w:val="single" w:sz="4" w:space="0" w:color="auto"/>
              <w:left w:val="nil"/>
              <w:bottom w:val="single" w:sz="4" w:space="0" w:color="auto"/>
              <w:right w:val="single" w:sz="4" w:space="0" w:color="auto"/>
            </w:tcBorders>
            <w:shd w:val="clear" w:color="auto" w:fill="85B2F6" w:themeFill="background2" w:themeFillShade="E6"/>
            <w:vAlign w:val="center"/>
            <w:hideMark/>
          </w:tcPr>
          <w:p w14:paraId="035650A0" w14:textId="77777777" w:rsidR="00BC402E" w:rsidRPr="008978E0" w:rsidRDefault="00BC402E" w:rsidP="008978E0">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Contracted on projects</w:t>
            </w:r>
          </w:p>
        </w:tc>
        <w:tc>
          <w:tcPr>
            <w:tcW w:w="1238" w:type="dxa"/>
            <w:tcBorders>
              <w:top w:val="single" w:sz="4" w:space="0" w:color="auto"/>
              <w:left w:val="nil"/>
              <w:bottom w:val="single" w:sz="4" w:space="0" w:color="auto"/>
              <w:right w:val="single" w:sz="4" w:space="0" w:color="auto"/>
            </w:tcBorders>
            <w:shd w:val="clear" w:color="auto" w:fill="85B2F6" w:themeFill="background2" w:themeFillShade="E6"/>
            <w:vAlign w:val="center"/>
            <w:hideMark/>
          </w:tcPr>
          <w:p w14:paraId="215FAEB1" w14:textId="77777777" w:rsidR="00BC402E" w:rsidRPr="008978E0" w:rsidRDefault="00BC402E" w:rsidP="008978E0">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Achieved to date</w:t>
            </w:r>
          </w:p>
        </w:tc>
        <w:tc>
          <w:tcPr>
            <w:tcW w:w="1051" w:type="dxa"/>
            <w:tcBorders>
              <w:top w:val="single" w:sz="4" w:space="0" w:color="auto"/>
              <w:left w:val="nil"/>
              <w:bottom w:val="single" w:sz="4" w:space="0" w:color="auto"/>
              <w:right w:val="single" w:sz="4" w:space="0" w:color="auto"/>
            </w:tcBorders>
            <w:shd w:val="clear" w:color="auto" w:fill="85B2F6" w:themeFill="background2" w:themeFillShade="E6"/>
            <w:noWrap/>
            <w:vAlign w:val="bottom"/>
            <w:hideMark/>
          </w:tcPr>
          <w:p w14:paraId="36C7E768" w14:textId="77777777" w:rsidR="00BC402E" w:rsidRPr="00BC402E" w:rsidRDefault="00BC402E" w:rsidP="008978E0">
            <w:pPr>
              <w:spacing w:after="0" w:line="240" w:lineRule="auto"/>
              <w:rPr>
                <w:rFonts w:ascii="Calibri" w:eastAsia="Times New Roman" w:hAnsi="Calibri" w:cs="Calibri"/>
                <w:b/>
                <w:bCs/>
                <w:color w:val="000000"/>
                <w:lang w:eastAsia="en-GB"/>
              </w:rPr>
            </w:pPr>
            <w:r w:rsidRPr="00BC402E">
              <w:rPr>
                <w:rFonts w:ascii="Calibri" w:eastAsia="Times New Roman" w:hAnsi="Calibri" w:cs="Calibri"/>
                <w:b/>
                <w:bCs/>
                <w:color w:val="000000"/>
                <w:lang w:eastAsia="en-GB"/>
              </w:rPr>
              <w:t>Expected in 19/20</w:t>
            </w:r>
          </w:p>
        </w:tc>
      </w:tr>
      <w:tr w:rsidR="00BC402E" w:rsidRPr="008978E0" w14:paraId="236A63FC"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3B783900"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lastRenderedPageBreak/>
              <w:t>Businesses receiving investment</w:t>
            </w:r>
          </w:p>
        </w:tc>
        <w:tc>
          <w:tcPr>
            <w:tcW w:w="1400" w:type="dxa"/>
            <w:tcBorders>
              <w:top w:val="nil"/>
              <w:left w:val="nil"/>
              <w:bottom w:val="single" w:sz="4" w:space="0" w:color="auto"/>
              <w:right w:val="single" w:sz="4" w:space="0" w:color="auto"/>
            </w:tcBorders>
            <w:shd w:val="clear" w:color="000000" w:fill="FFFFFF"/>
            <w:vAlign w:val="center"/>
            <w:hideMark/>
          </w:tcPr>
          <w:p w14:paraId="0E2F8B52"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10085DB"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29</w:t>
            </w:r>
          </w:p>
        </w:tc>
        <w:tc>
          <w:tcPr>
            <w:tcW w:w="1238" w:type="dxa"/>
            <w:tcBorders>
              <w:top w:val="nil"/>
              <w:left w:val="nil"/>
              <w:bottom w:val="single" w:sz="4" w:space="0" w:color="auto"/>
              <w:right w:val="single" w:sz="4" w:space="0" w:color="auto"/>
            </w:tcBorders>
            <w:shd w:val="clear" w:color="000000" w:fill="FFFFFF"/>
            <w:noWrap/>
            <w:vAlign w:val="center"/>
            <w:hideMark/>
          </w:tcPr>
          <w:p w14:paraId="1C1BFDD3"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4EA4CD72" w14:textId="2E1CFB82"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4</w:t>
            </w:r>
          </w:p>
        </w:tc>
      </w:tr>
      <w:tr w:rsidR="00BC402E" w:rsidRPr="008978E0" w14:paraId="2CD702D4"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438A7EA8"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Jobs created</w:t>
            </w:r>
          </w:p>
        </w:tc>
        <w:tc>
          <w:tcPr>
            <w:tcW w:w="1400" w:type="dxa"/>
            <w:tcBorders>
              <w:top w:val="nil"/>
              <w:left w:val="nil"/>
              <w:bottom w:val="single" w:sz="4" w:space="0" w:color="auto"/>
              <w:right w:val="single" w:sz="4" w:space="0" w:color="auto"/>
            </w:tcBorders>
            <w:shd w:val="clear" w:color="000000" w:fill="FFFFFF"/>
            <w:vAlign w:val="center"/>
            <w:hideMark/>
          </w:tcPr>
          <w:p w14:paraId="3329D124"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16223</w:t>
            </w:r>
          </w:p>
        </w:tc>
        <w:tc>
          <w:tcPr>
            <w:tcW w:w="1229" w:type="dxa"/>
            <w:tcBorders>
              <w:top w:val="nil"/>
              <w:left w:val="nil"/>
              <w:bottom w:val="single" w:sz="4" w:space="0" w:color="auto"/>
              <w:right w:val="single" w:sz="4" w:space="0" w:color="auto"/>
            </w:tcBorders>
            <w:shd w:val="clear" w:color="000000" w:fill="FFFFFF"/>
            <w:noWrap/>
            <w:vAlign w:val="center"/>
            <w:hideMark/>
          </w:tcPr>
          <w:p w14:paraId="6649314F"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25,293</w:t>
            </w:r>
          </w:p>
        </w:tc>
        <w:tc>
          <w:tcPr>
            <w:tcW w:w="1238" w:type="dxa"/>
            <w:tcBorders>
              <w:top w:val="nil"/>
              <w:left w:val="nil"/>
              <w:bottom w:val="single" w:sz="4" w:space="0" w:color="auto"/>
              <w:right w:val="single" w:sz="4" w:space="0" w:color="auto"/>
            </w:tcBorders>
            <w:shd w:val="clear" w:color="000000" w:fill="FFFFFF"/>
            <w:noWrap/>
            <w:vAlign w:val="center"/>
            <w:hideMark/>
          </w:tcPr>
          <w:p w14:paraId="20F59EBC"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7,943</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AD9491E" w14:textId="77777777"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500</w:t>
            </w:r>
          </w:p>
        </w:tc>
      </w:tr>
      <w:tr w:rsidR="00BC402E" w:rsidRPr="008978E0" w14:paraId="17B86023"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4F944D77"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Private sector Leverage (£m)</w:t>
            </w:r>
          </w:p>
        </w:tc>
        <w:tc>
          <w:tcPr>
            <w:tcW w:w="1400" w:type="dxa"/>
            <w:tcBorders>
              <w:top w:val="nil"/>
              <w:left w:val="nil"/>
              <w:bottom w:val="single" w:sz="4" w:space="0" w:color="auto"/>
              <w:right w:val="single" w:sz="4" w:space="0" w:color="auto"/>
            </w:tcBorders>
            <w:shd w:val="clear" w:color="000000" w:fill="FFFFFF"/>
            <w:vAlign w:val="center"/>
            <w:hideMark/>
          </w:tcPr>
          <w:p w14:paraId="076CAEE4" w14:textId="38241084" w:rsidR="00BC402E" w:rsidRPr="008978E0" w:rsidRDefault="00BC402E" w:rsidP="00BC402E">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359.78</w:t>
            </w:r>
          </w:p>
        </w:tc>
        <w:tc>
          <w:tcPr>
            <w:tcW w:w="1229" w:type="dxa"/>
            <w:tcBorders>
              <w:top w:val="nil"/>
              <w:left w:val="nil"/>
              <w:bottom w:val="single" w:sz="4" w:space="0" w:color="auto"/>
              <w:right w:val="single" w:sz="4" w:space="0" w:color="auto"/>
            </w:tcBorders>
            <w:shd w:val="clear" w:color="000000" w:fill="FFFFFF"/>
            <w:noWrap/>
            <w:vAlign w:val="center"/>
            <w:hideMark/>
          </w:tcPr>
          <w:p w14:paraId="6F7E2071"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308</w:t>
            </w:r>
          </w:p>
        </w:tc>
        <w:tc>
          <w:tcPr>
            <w:tcW w:w="1238" w:type="dxa"/>
            <w:tcBorders>
              <w:top w:val="nil"/>
              <w:left w:val="nil"/>
              <w:bottom w:val="single" w:sz="4" w:space="0" w:color="auto"/>
              <w:right w:val="single" w:sz="4" w:space="0" w:color="auto"/>
            </w:tcBorders>
            <w:shd w:val="clear" w:color="000000" w:fill="FFFFFF"/>
            <w:noWrap/>
            <w:vAlign w:val="center"/>
            <w:hideMark/>
          </w:tcPr>
          <w:p w14:paraId="54AF710E"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500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12F68E28" w14:textId="57A05C4A"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25</w:t>
            </w:r>
          </w:p>
        </w:tc>
      </w:tr>
      <w:tr w:rsidR="00BC402E" w:rsidRPr="008978E0" w14:paraId="4E7E7752"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174CDCC2"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Public Sector Leverage (£m)</w:t>
            </w:r>
          </w:p>
        </w:tc>
        <w:tc>
          <w:tcPr>
            <w:tcW w:w="1400" w:type="dxa"/>
            <w:tcBorders>
              <w:top w:val="nil"/>
              <w:left w:val="nil"/>
              <w:bottom w:val="single" w:sz="4" w:space="0" w:color="auto"/>
              <w:right w:val="single" w:sz="4" w:space="0" w:color="auto"/>
            </w:tcBorders>
            <w:shd w:val="clear" w:color="000000" w:fill="FFFFFF"/>
            <w:vAlign w:val="center"/>
            <w:hideMark/>
          </w:tcPr>
          <w:p w14:paraId="7ABDC13C" w14:textId="5A9A66ED" w:rsidR="00BC402E" w:rsidRPr="008978E0" w:rsidRDefault="00BC402E" w:rsidP="00BC402E">
            <w:pPr>
              <w:spacing w:after="0" w:line="240" w:lineRule="auto"/>
              <w:jc w:val="right"/>
              <w:rPr>
                <w:rFonts w:ascii="Calibri" w:eastAsia="Times New Roman" w:hAnsi="Calibri" w:cs="Calibri"/>
                <w:color w:val="000000"/>
                <w:lang w:eastAsia="en-GB"/>
              </w:rPr>
            </w:pPr>
          </w:p>
        </w:tc>
        <w:tc>
          <w:tcPr>
            <w:tcW w:w="1229" w:type="dxa"/>
            <w:tcBorders>
              <w:top w:val="nil"/>
              <w:left w:val="nil"/>
              <w:bottom w:val="single" w:sz="4" w:space="0" w:color="auto"/>
              <w:right w:val="single" w:sz="4" w:space="0" w:color="auto"/>
            </w:tcBorders>
            <w:shd w:val="clear" w:color="000000" w:fill="FFFFFF"/>
            <w:noWrap/>
            <w:vAlign w:val="center"/>
            <w:hideMark/>
          </w:tcPr>
          <w:p w14:paraId="5CAB14EE"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128</w:t>
            </w:r>
          </w:p>
        </w:tc>
        <w:tc>
          <w:tcPr>
            <w:tcW w:w="1238" w:type="dxa"/>
            <w:tcBorders>
              <w:top w:val="nil"/>
              <w:left w:val="nil"/>
              <w:bottom w:val="single" w:sz="4" w:space="0" w:color="auto"/>
              <w:right w:val="single" w:sz="4" w:space="0" w:color="auto"/>
            </w:tcBorders>
            <w:shd w:val="clear" w:color="000000" w:fill="FFFFFF"/>
            <w:noWrap/>
            <w:vAlign w:val="center"/>
            <w:hideMark/>
          </w:tcPr>
          <w:p w14:paraId="2A4ECB4C"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76</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D96D536" w14:textId="77777777"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40</w:t>
            </w:r>
          </w:p>
        </w:tc>
      </w:tr>
      <w:tr w:rsidR="00BC402E" w:rsidRPr="008978E0" w14:paraId="5AF680D4"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64B4649F"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New homes completed</w:t>
            </w:r>
          </w:p>
        </w:tc>
        <w:tc>
          <w:tcPr>
            <w:tcW w:w="1400" w:type="dxa"/>
            <w:tcBorders>
              <w:top w:val="nil"/>
              <w:left w:val="nil"/>
              <w:bottom w:val="single" w:sz="4" w:space="0" w:color="auto"/>
              <w:right w:val="single" w:sz="4" w:space="0" w:color="auto"/>
            </w:tcBorders>
            <w:shd w:val="clear" w:color="000000" w:fill="FFFFFF"/>
            <w:vAlign w:val="center"/>
            <w:hideMark/>
          </w:tcPr>
          <w:p w14:paraId="77850DD0" w14:textId="66ADCA1D" w:rsidR="00BC402E" w:rsidRPr="008978E0" w:rsidRDefault="00BC402E" w:rsidP="00BC402E">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5,750</w:t>
            </w:r>
          </w:p>
        </w:tc>
        <w:tc>
          <w:tcPr>
            <w:tcW w:w="1229" w:type="dxa"/>
            <w:tcBorders>
              <w:top w:val="nil"/>
              <w:left w:val="nil"/>
              <w:bottom w:val="single" w:sz="4" w:space="0" w:color="auto"/>
              <w:right w:val="single" w:sz="4" w:space="0" w:color="auto"/>
            </w:tcBorders>
            <w:shd w:val="clear" w:color="000000" w:fill="FFFFFF"/>
            <w:noWrap/>
            <w:vAlign w:val="center"/>
            <w:hideMark/>
          </w:tcPr>
          <w:p w14:paraId="466FCD89"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13,384</w:t>
            </w:r>
          </w:p>
        </w:tc>
        <w:tc>
          <w:tcPr>
            <w:tcW w:w="1238" w:type="dxa"/>
            <w:tcBorders>
              <w:top w:val="nil"/>
              <w:left w:val="nil"/>
              <w:bottom w:val="single" w:sz="4" w:space="0" w:color="auto"/>
              <w:right w:val="single" w:sz="4" w:space="0" w:color="auto"/>
            </w:tcBorders>
            <w:shd w:val="clear" w:color="000000" w:fill="FFFFFF"/>
            <w:noWrap/>
            <w:vAlign w:val="center"/>
            <w:hideMark/>
          </w:tcPr>
          <w:p w14:paraId="4A2CED0A"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3,019</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7DC07286" w14:textId="77777777"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250</w:t>
            </w:r>
          </w:p>
        </w:tc>
      </w:tr>
      <w:tr w:rsidR="00BC402E" w:rsidRPr="008978E0" w14:paraId="7A254FF8"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1FB62330"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GVA</w:t>
            </w:r>
          </w:p>
        </w:tc>
        <w:tc>
          <w:tcPr>
            <w:tcW w:w="1400" w:type="dxa"/>
            <w:tcBorders>
              <w:top w:val="nil"/>
              <w:left w:val="nil"/>
              <w:bottom w:val="single" w:sz="4" w:space="0" w:color="auto"/>
              <w:right w:val="single" w:sz="4" w:space="0" w:color="auto"/>
            </w:tcBorders>
            <w:shd w:val="clear" w:color="000000" w:fill="FFFFFF"/>
            <w:noWrap/>
            <w:vAlign w:val="bottom"/>
            <w:hideMark/>
          </w:tcPr>
          <w:p w14:paraId="2970B22B"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636FEB45"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136.5</w:t>
            </w:r>
          </w:p>
        </w:tc>
        <w:tc>
          <w:tcPr>
            <w:tcW w:w="1238" w:type="dxa"/>
            <w:tcBorders>
              <w:top w:val="nil"/>
              <w:left w:val="nil"/>
              <w:bottom w:val="single" w:sz="4" w:space="0" w:color="auto"/>
              <w:right w:val="single" w:sz="4" w:space="0" w:color="auto"/>
            </w:tcBorders>
            <w:shd w:val="clear" w:color="000000" w:fill="FFFFFF"/>
            <w:noWrap/>
            <w:vAlign w:val="bottom"/>
            <w:hideMark/>
          </w:tcPr>
          <w:p w14:paraId="57A19320"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3.91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4ECBC3DA" w14:textId="7051FE33" w:rsidR="00BC402E" w:rsidRPr="00BC402E" w:rsidRDefault="00BC402E" w:rsidP="00BC402E">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4</w:t>
            </w:r>
          </w:p>
        </w:tc>
      </w:tr>
      <w:tr w:rsidR="00BC402E" w:rsidRPr="008978E0" w14:paraId="05B3B4F1"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0479CBC4"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Space occupied at Alderley Park (</w:t>
            </w:r>
            <w:proofErr w:type="spellStart"/>
            <w:r w:rsidRPr="008978E0">
              <w:rPr>
                <w:rFonts w:ascii="Calibri" w:eastAsia="Times New Roman" w:hAnsi="Calibri" w:cs="Calibri"/>
                <w:color w:val="000000"/>
                <w:lang w:eastAsia="en-GB"/>
              </w:rPr>
              <w:t>sqft</w:t>
            </w:r>
            <w:proofErr w:type="spellEnd"/>
            <w:r w:rsidRPr="008978E0">
              <w:rPr>
                <w:rFonts w:ascii="Calibri" w:eastAsia="Times New Roman" w:hAnsi="Calibri" w:cs="Calibri"/>
                <w:color w:val="000000"/>
                <w:lang w:eastAsia="en-GB"/>
              </w:rPr>
              <w:t>)</w:t>
            </w:r>
          </w:p>
        </w:tc>
        <w:tc>
          <w:tcPr>
            <w:tcW w:w="1400" w:type="dxa"/>
            <w:tcBorders>
              <w:top w:val="nil"/>
              <w:left w:val="nil"/>
              <w:bottom w:val="single" w:sz="4" w:space="0" w:color="auto"/>
              <w:right w:val="single" w:sz="4" w:space="0" w:color="auto"/>
            </w:tcBorders>
            <w:shd w:val="clear" w:color="000000" w:fill="FFFFFF"/>
            <w:noWrap/>
            <w:vAlign w:val="bottom"/>
            <w:hideMark/>
          </w:tcPr>
          <w:p w14:paraId="4F8ADC9E"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1D3E7F01"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18580</w:t>
            </w:r>
          </w:p>
        </w:tc>
        <w:tc>
          <w:tcPr>
            <w:tcW w:w="1238" w:type="dxa"/>
            <w:tcBorders>
              <w:top w:val="nil"/>
              <w:left w:val="nil"/>
              <w:bottom w:val="single" w:sz="4" w:space="0" w:color="auto"/>
              <w:right w:val="single" w:sz="4" w:space="0" w:color="auto"/>
            </w:tcBorders>
            <w:shd w:val="clear" w:color="000000" w:fill="FFFFFF"/>
            <w:noWrap/>
            <w:vAlign w:val="bottom"/>
            <w:hideMark/>
          </w:tcPr>
          <w:p w14:paraId="019B0888"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1077</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F720EEE" w14:textId="23B19FF3" w:rsidR="00BC402E" w:rsidRPr="00BC402E" w:rsidRDefault="00BC402E" w:rsidP="00BC402E">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250</w:t>
            </w:r>
          </w:p>
        </w:tc>
      </w:tr>
      <w:tr w:rsidR="00BC402E" w:rsidRPr="008978E0" w14:paraId="0B8D675E"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5A312FC8"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Total amount of new road (meters)</w:t>
            </w:r>
          </w:p>
        </w:tc>
        <w:tc>
          <w:tcPr>
            <w:tcW w:w="1400" w:type="dxa"/>
            <w:tcBorders>
              <w:top w:val="nil"/>
              <w:left w:val="nil"/>
              <w:bottom w:val="single" w:sz="4" w:space="0" w:color="auto"/>
              <w:right w:val="single" w:sz="4" w:space="0" w:color="auto"/>
            </w:tcBorders>
            <w:shd w:val="clear" w:color="000000" w:fill="FFFFFF"/>
            <w:noWrap/>
            <w:vAlign w:val="bottom"/>
            <w:hideMark/>
          </w:tcPr>
          <w:p w14:paraId="2C02E845"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06956607"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3481</w:t>
            </w:r>
          </w:p>
        </w:tc>
        <w:tc>
          <w:tcPr>
            <w:tcW w:w="1238" w:type="dxa"/>
            <w:tcBorders>
              <w:top w:val="nil"/>
              <w:left w:val="nil"/>
              <w:bottom w:val="single" w:sz="4" w:space="0" w:color="auto"/>
              <w:right w:val="single" w:sz="4" w:space="0" w:color="auto"/>
            </w:tcBorders>
            <w:shd w:val="clear" w:color="000000" w:fill="FFFFFF"/>
            <w:noWrap/>
            <w:vAlign w:val="bottom"/>
            <w:hideMark/>
          </w:tcPr>
          <w:p w14:paraId="2C77CE8B"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1081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EAD5B1D" w14:textId="77777777" w:rsidR="00BC402E" w:rsidRPr="00BC402E" w:rsidRDefault="00BC402E" w:rsidP="00BC402E">
            <w:pPr>
              <w:spacing w:after="0" w:line="240" w:lineRule="auto"/>
              <w:jc w:val="center"/>
              <w:rPr>
                <w:rFonts w:ascii="Calibri" w:eastAsia="Times New Roman" w:hAnsi="Calibri" w:cs="Calibri"/>
                <w:bCs/>
                <w:color w:val="000000"/>
                <w:lang w:eastAsia="en-GB"/>
              </w:rPr>
            </w:pPr>
            <w:r w:rsidRPr="00BC402E">
              <w:rPr>
                <w:rFonts w:ascii="Calibri" w:eastAsia="Times New Roman" w:hAnsi="Calibri" w:cs="Calibri"/>
                <w:bCs/>
                <w:color w:val="000000"/>
                <w:lang w:eastAsia="en-GB"/>
              </w:rPr>
              <w:t>1500</w:t>
            </w:r>
          </w:p>
        </w:tc>
      </w:tr>
      <w:tr w:rsidR="00BC402E" w:rsidRPr="008978E0" w14:paraId="73FE1B28" w14:textId="77777777" w:rsidTr="00BC402E">
        <w:trPr>
          <w:trHeight w:val="290"/>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2ABA7748"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Learners benefitting</w:t>
            </w:r>
          </w:p>
        </w:tc>
        <w:tc>
          <w:tcPr>
            <w:tcW w:w="1400" w:type="dxa"/>
            <w:tcBorders>
              <w:top w:val="nil"/>
              <w:left w:val="nil"/>
              <w:bottom w:val="single" w:sz="4" w:space="0" w:color="auto"/>
              <w:right w:val="single" w:sz="4" w:space="0" w:color="auto"/>
            </w:tcBorders>
            <w:shd w:val="clear" w:color="000000" w:fill="FFFFFF"/>
            <w:noWrap/>
            <w:vAlign w:val="bottom"/>
            <w:hideMark/>
          </w:tcPr>
          <w:p w14:paraId="4E7ECD89" w14:textId="77777777" w:rsidR="00BC402E" w:rsidRPr="008978E0" w:rsidRDefault="00BC402E" w:rsidP="008978E0">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719FEC70" w14:textId="77777777" w:rsidR="00BC402E" w:rsidRPr="008978E0" w:rsidRDefault="00BC402E" w:rsidP="008978E0">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511</w:t>
            </w:r>
          </w:p>
        </w:tc>
        <w:tc>
          <w:tcPr>
            <w:tcW w:w="1238" w:type="dxa"/>
            <w:tcBorders>
              <w:top w:val="nil"/>
              <w:left w:val="nil"/>
              <w:bottom w:val="single" w:sz="4" w:space="0" w:color="auto"/>
              <w:right w:val="single" w:sz="4" w:space="0" w:color="auto"/>
            </w:tcBorders>
            <w:shd w:val="clear" w:color="000000" w:fill="FFFFFF"/>
            <w:noWrap/>
            <w:vAlign w:val="bottom"/>
            <w:hideMark/>
          </w:tcPr>
          <w:p w14:paraId="1F3E8591" w14:textId="77777777" w:rsidR="00BC402E" w:rsidRPr="00BC402E" w:rsidRDefault="00BC402E" w:rsidP="008978E0">
            <w:pPr>
              <w:spacing w:after="0" w:line="240" w:lineRule="auto"/>
              <w:jc w:val="right"/>
              <w:rPr>
                <w:rFonts w:ascii="Calibri" w:eastAsia="Times New Roman" w:hAnsi="Calibri" w:cs="Calibri"/>
                <w:color w:val="000000"/>
                <w:sz w:val="20"/>
                <w:lang w:eastAsia="en-GB"/>
              </w:rPr>
            </w:pPr>
            <w:r w:rsidRPr="00BC402E">
              <w:rPr>
                <w:rFonts w:ascii="Calibri" w:eastAsia="Times New Roman" w:hAnsi="Calibri" w:cs="Calibri"/>
                <w:color w:val="000000"/>
                <w:sz w:val="20"/>
                <w:lang w:eastAsia="en-GB"/>
              </w:rPr>
              <w:t>25</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1FD2C5E1" w14:textId="2A068D9B" w:rsidR="00BC402E" w:rsidRPr="00BC402E" w:rsidRDefault="00BC402E" w:rsidP="00BC402E">
            <w:pPr>
              <w:spacing w:after="0" w:line="240" w:lineRule="auto"/>
              <w:jc w:val="center"/>
              <w:rPr>
                <w:rFonts w:ascii="Calibri" w:eastAsia="Times New Roman" w:hAnsi="Calibri" w:cs="Calibri"/>
                <w:bCs/>
                <w:color w:val="000000"/>
                <w:sz w:val="20"/>
                <w:lang w:eastAsia="en-GB"/>
              </w:rPr>
            </w:pPr>
            <w:r w:rsidRPr="00BC402E">
              <w:rPr>
                <w:rFonts w:ascii="Calibri" w:eastAsia="Times New Roman" w:hAnsi="Calibri" w:cs="Calibri"/>
                <w:bCs/>
                <w:color w:val="000000"/>
                <w:sz w:val="20"/>
                <w:lang w:eastAsia="en-GB"/>
              </w:rPr>
              <w:t>300</w:t>
            </w:r>
          </w:p>
        </w:tc>
      </w:tr>
    </w:tbl>
    <w:p w14:paraId="0CC228C7" w14:textId="05E57109" w:rsidR="008978E0" w:rsidRDefault="008978E0" w:rsidP="008978E0"/>
    <w:p w14:paraId="5E862EA0" w14:textId="4A03039A" w:rsidR="00E63B35" w:rsidRDefault="00E63B35" w:rsidP="00E63B35">
      <w:pPr>
        <w:pStyle w:val="Heading1"/>
        <w:numPr>
          <w:ilvl w:val="0"/>
          <w:numId w:val="1"/>
        </w:numPr>
        <w:jc w:val="both"/>
      </w:pPr>
      <w:r w:rsidRPr="00E442D8">
        <w:t>Enterprise Zone</w:t>
      </w:r>
    </w:p>
    <w:p w14:paraId="5CB787DD" w14:textId="77777777" w:rsidR="00E63B35" w:rsidRDefault="00E63B35" w:rsidP="00E63B35">
      <w:r>
        <w:t>The Enterprise Zone made its first investments in 18/19 and has developed a £28m prioritised investment programme. Work is currently underway to secure additional funding to fund the investment programme which is expected to be in place by summer 2019.</w:t>
      </w:r>
    </w:p>
    <w:p w14:paraId="5560A5DE" w14:textId="77777777" w:rsidR="00E63B35" w:rsidRDefault="00E63B35" w:rsidP="00E63B35">
      <w:r>
        <w:t>In 19/20 the following is expected to be delivered by the EZ:</w:t>
      </w:r>
    </w:p>
    <w:tbl>
      <w:tblPr>
        <w:tblStyle w:val="GridTable6Colorful-Accent1"/>
        <w:tblW w:w="9062" w:type="dxa"/>
        <w:tblLook w:val="0420" w:firstRow="1" w:lastRow="0" w:firstColumn="0" w:lastColumn="0" w:noHBand="0" w:noVBand="1"/>
      </w:tblPr>
      <w:tblGrid>
        <w:gridCol w:w="7928"/>
        <w:gridCol w:w="1134"/>
      </w:tblGrid>
      <w:tr w:rsidR="00E63B35" w:rsidRPr="00996926" w14:paraId="0E4AC15F" w14:textId="77777777" w:rsidTr="00835A97">
        <w:trPr>
          <w:cnfStyle w:val="100000000000" w:firstRow="1" w:lastRow="0" w:firstColumn="0" w:lastColumn="0" w:oddVBand="0" w:evenVBand="0" w:oddHBand="0" w:evenHBand="0" w:firstRowFirstColumn="0" w:firstRowLastColumn="0" w:lastRowFirstColumn="0" w:lastRowLastColumn="0"/>
          <w:trHeight w:val="908"/>
        </w:trPr>
        <w:tc>
          <w:tcPr>
            <w:tcW w:w="7928" w:type="dxa"/>
            <w:hideMark/>
          </w:tcPr>
          <w:p w14:paraId="77C81FBE" w14:textId="77777777" w:rsidR="00E63B35" w:rsidRPr="00996926" w:rsidRDefault="00E63B35" w:rsidP="00835A97">
            <w:pPr>
              <w:spacing w:line="276" w:lineRule="auto"/>
              <w:jc w:val="both"/>
              <w:rPr>
                <w:rFonts w:cstheme="minorHAnsi"/>
                <w:b w:val="0"/>
                <w:color w:val="auto"/>
              </w:rPr>
            </w:pPr>
            <w:r w:rsidRPr="00996926">
              <w:rPr>
                <w:rFonts w:cstheme="minorHAnsi"/>
                <w:b w:val="0"/>
                <w:color w:val="auto"/>
              </w:rPr>
              <w:t>1. Develop a long-term strategy for the development of the Cheshire Science Corridor linked to the Local Industrial Strategy</w:t>
            </w:r>
          </w:p>
        </w:tc>
        <w:tc>
          <w:tcPr>
            <w:tcW w:w="1134" w:type="dxa"/>
            <w:hideMark/>
          </w:tcPr>
          <w:p w14:paraId="5376C404" w14:textId="77777777" w:rsidR="00E63B35" w:rsidRPr="00996926" w:rsidRDefault="00E63B35" w:rsidP="00835A97">
            <w:pPr>
              <w:spacing w:line="276" w:lineRule="auto"/>
              <w:jc w:val="both"/>
              <w:rPr>
                <w:rFonts w:cstheme="minorHAnsi"/>
                <w:b w:val="0"/>
                <w:color w:val="auto"/>
              </w:rPr>
            </w:pPr>
            <w:r w:rsidRPr="00996926">
              <w:rPr>
                <w:rFonts w:cstheme="minorHAnsi"/>
                <w:b w:val="0"/>
                <w:color w:val="auto"/>
              </w:rPr>
              <w:t>Q1</w:t>
            </w:r>
          </w:p>
        </w:tc>
      </w:tr>
      <w:tr w:rsidR="00E63B35" w:rsidRPr="00996926" w14:paraId="52E31EA0" w14:textId="77777777" w:rsidTr="00835A97">
        <w:trPr>
          <w:cnfStyle w:val="000000100000" w:firstRow="0" w:lastRow="0" w:firstColumn="0" w:lastColumn="0" w:oddVBand="0" w:evenVBand="0" w:oddHBand="1" w:evenHBand="0" w:firstRowFirstColumn="0" w:firstRowLastColumn="0" w:lastRowFirstColumn="0" w:lastRowLastColumn="0"/>
          <w:trHeight w:val="908"/>
        </w:trPr>
        <w:tc>
          <w:tcPr>
            <w:tcW w:w="7928" w:type="dxa"/>
            <w:hideMark/>
          </w:tcPr>
          <w:p w14:paraId="64E90CE9" w14:textId="77777777" w:rsidR="00E63B35" w:rsidRPr="00996926" w:rsidRDefault="00E63B35" w:rsidP="00835A97">
            <w:pPr>
              <w:spacing w:line="276" w:lineRule="auto"/>
              <w:jc w:val="both"/>
              <w:rPr>
                <w:rFonts w:cstheme="minorHAnsi"/>
                <w:color w:val="auto"/>
              </w:rPr>
            </w:pPr>
            <w:r w:rsidRPr="00996926">
              <w:rPr>
                <w:rFonts w:cstheme="minorHAnsi"/>
                <w:color w:val="auto"/>
              </w:rPr>
              <w:t xml:space="preserve">2. Develop a business case for the Crewe Hub EZ to support the delivery of the new HS2 station at Crewe and maximise the benefits of HS2 for the wider sub-region </w:t>
            </w:r>
          </w:p>
        </w:tc>
        <w:tc>
          <w:tcPr>
            <w:tcW w:w="1134" w:type="dxa"/>
            <w:hideMark/>
          </w:tcPr>
          <w:p w14:paraId="5BA137B6" w14:textId="77777777" w:rsidR="00E63B35" w:rsidRPr="00996926" w:rsidRDefault="00E63B35" w:rsidP="00835A97">
            <w:pPr>
              <w:spacing w:line="276" w:lineRule="auto"/>
              <w:jc w:val="both"/>
              <w:rPr>
                <w:rFonts w:cstheme="minorHAnsi"/>
                <w:color w:val="auto"/>
              </w:rPr>
            </w:pPr>
            <w:r w:rsidRPr="00996926">
              <w:rPr>
                <w:rFonts w:cstheme="minorHAnsi"/>
                <w:color w:val="auto"/>
              </w:rPr>
              <w:t>Q2</w:t>
            </w:r>
          </w:p>
        </w:tc>
      </w:tr>
      <w:tr w:rsidR="00E63B35" w:rsidRPr="00996926" w14:paraId="37368479" w14:textId="77777777" w:rsidTr="00835A97">
        <w:trPr>
          <w:trHeight w:val="615"/>
        </w:trPr>
        <w:tc>
          <w:tcPr>
            <w:tcW w:w="7928" w:type="dxa"/>
            <w:hideMark/>
          </w:tcPr>
          <w:p w14:paraId="6E1AD456" w14:textId="77777777" w:rsidR="00E63B35" w:rsidRPr="00996926" w:rsidRDefault="00E63B35" w:rsidP="00835A97">
            <w:pPr>
              <w:spacing w:line="276" w:lineRule="auto"/>
              <w:jc w:val="both"/>
              <w:rPr>
                <w:rFonts w:cstheme="minorHAnsi"/>
                <w:color w:val="auto"/>
              </w:rPr>
            </w:pPr>
            <w:r w:rsidRPr="00996926">
              <w:rPr>
                <w:rFonts w:cstheme="minorHAnsi"/>
                <w:color w:val="auto"/>
              </w:rPr>
              <w:t xml:space="preserve">3. Development of a £25.2m investment pipeline for the Cheshire Science Corridor EZ    </w:t>
            </w:r>
          </w:p>
        </w:tc>
        <w:tc>
          <w:tcPr>
            <w:tcW w:w="1134" w:type="dxa"/>
            <w:hideMark/>
          </w:tcPr>
          <w:p w14:paraId="1650DCE2"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1CC22226" w14:textId="77777777" w:rsidTr="00835A97">
        <w:trPr>
          <w:cnfStyle w:val="000000100000" w:firstRow="0" w:lastRow="0" w:firstColumn="0" w:lastColumn="0" w:oddVBand="0" w:evenVBand="0" w:oddHBand="1" w:evenHBand="0" w:firstRowFirstColumn="0" w:firstRowLastColumn="0" w:lastRowFirstColumn="0" w:lastRowLastColumn="0"/>
          <w:trHeight w:val="615"/>
        </w:trPr>
        <w:tc>
          <w:tcPr>
            <w:tcW w:w="7928" w:type="dxa"/>
            <w:hideMark/>
          </w:tcPr>
          <w:p w14:paraId="4184DC8A" w14:textId="77777777" w:rsidR="00E63B35" w:rsidRPr="00996926" w:rsidRDefault="00E63B35" w:rsidP="00835A97">
            <w:pPr>
              <w:spacing w:line="276" w:lineRule="auto"/>
              <w:jc w:val="both"/>
              <w:rPr>
                <w:rFonts w:cstheme="minorHAnsi"/>
                <w:color w:val="auto"/>
              </w:rPr>
            </w:pPr>
            <w:r w:rsidRPr="00996926">
              <w:rPr>
                <w:rFonts w:cstheme="minorHAnsi"/>
                <w:color w:val="auto"/>
              </w:rPr>
              <w:t xml:space="preserve">4. Invest £12.8m in 8 new schemes in the Cheshire Science Corridor EZ </w:t>
            </w:r>
          </w:p>
        </w:tc>
        <w:tc>
          <w:tcPr>
            <w:tcW w:w="1134" w:type="dxa"/>
            <w:hideMark/>
          </w:tcPr>
          <w:p w14:paraId="210D7805"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3F8699E9" w14:textId="77777777" w:rsidTr="00835A97">
        <w:trPr>
          <w:trHeight w:val="526"/>
        </w:trPr>
        <w:tc>
          <w:tcPr>
            <w:tcW w:w="7928" w:type="dxa"/>
            <w:hideMark/>
          </w:tcPr>
          <w:p w14:paraId="5EA4C679" w14:textId="77777777" w:rsidR="00E63B35" w:rsidRPr="00996926" w:rsidRDefault="00E63B35" w:rsidP="00835A97">
            <w:pPr>
              <w:spacing w:line="276" w:lineRule="auto"/>
              <w:jc w:val="both"/>
              <w:rPr>
                <w:rFonts w:cstheme="minorHAnsi"/>
                <w:color w:val="auto"/>
              </w:rPr>
            </w:pPr>
            <w:r w:rsidRPr="00996926">
              <w:rPr>
                <w:rFonts w:cstheme="minorHAnsi"/>
                <w:color w:val="auto"/>
              </w:rPr>
              <w:t>5. Attract 55 new businesses into the Cheshire Science Corridor EZ</w:t>
            </w:r>
          </w:p>
        </w:tc>
        <w:tc>
          <w:tcPr>
            <w:tcW w:w="1134" w:type="dxa"/>
            <w:hideMark/>
          </w:tcPr>
          <w:p w14:paraId="725EF269"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57E96B92" w14:textId="77777777" w:rsidTr="00835A97">
        <w:trPr>
          <w:cnfStyle w:val="000000100000" w:firstRow="0" w:lastRow="0" w:firstColumn="0" w:lastColumn="0" w:oddVBand="0" w:evenVBand="0" w:oddHBand="1" w:evenHBand="0" w:firstRowFirstColumn="0" w:firstRowLastColumn="0" w:lastRowFirstColumn="0" w:lastRowLastColumn="0"/>
          <w:trHeight w:val="526"/>
        </w:trPr>
        <w:tc>
          <w:tcPr>
            <w:tcW w:w="7928" w:type="dxa"/>
            <w:hideMark/>
          </w:tcPr>
          <w:p w14:paraId="29CB4B8C" w14:textId="77777777" w:rsidR="00E63B35" w:rsidRPr="00996926" w:rsidRDefault="00E63B35" w:rsidP="00835A97">
            <w:pPr>
              <w:spacing w:line="276" w:lineRule="auto"/>
              <w:jc w:val="both"/>
              <w:rPr>
                <w:rFonts w:cstheme="minorHAnsi"/>
                <w:color w:val="auto"/>
              </w:rPr>
            </w:pPr>
            <w:r w:rsidRPr="00996926">
              <w:rPr>
                <w:rFonts w:cstheme="minorHAnsi"/>
                <w:color w:val="auto"/>
              </w:rPr>
              <w:t>6. Attract 1,200 new jobs onto the Cheshire Science Corridor EZ</w:t>
            </w:r>
          </w:p>
        </w:tc>
        <w:tc>
          <w:tcPr>
            <w:tcW w:w="1134" w:type="dxa"/>
            <w:hideMark/>
          </w:tcPr>
          <w:p w14:paraId="771E13C5"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0696AA19" w14:textId="77777777" w:rsidTr="00835A97">
        <w:trPr>
          <w:trHeight w:val="526"/>
        </w:trPr>
        <w:tc>
          <w:tcPr>
            <w:tcW w:w="7928" w:type="dxa"/>
            <w:hideMark/>
          </w:tcPr>
          <w:p w14:paraId="30D09562" w14:textId="77777777" w:rsidR="00E63B35" w:rsidRPr="00996926" w:rsidRDefault="00E63B35" w:rsidP="00835A97">
            <w:pPr>
              <w:spacing w:line="276" w:lineRule="auto"/>
              <w:jc w:val="both"/>
              <w:rPr>
                <w:rFonts w:cstheme="minorHAnsi"/>
                <w:color w:val="auto"/>
              </w:rPr>
            </w:pPr>
            <w:r w:rsidRPr="00996926">
              <w:rPr>
                <w:rFonts w:cstheme="minorHAnsi"/>
                <w:color w:val="auto"/>
              </w:rPr>
              <w:t xml:space="preserve">7. Create 580,000 </w:t>
            </w:r>
            <w:proofErr w:type="spellStart"/>
            <w:r w:rsidRPr="00996926">
              <w:rPr>
                <w:rFonts w:cstheme="minorHAnsi"/>
                <w:color w:val="auto"/>
              </w:rPr>
              <w:t>sq</w:t>
            </w:r>
            <w:proofErr w:type="spellEnd"/>
            <w:r w:rsidRPr="00996926">
              <w:rPr>
                <w:rFonts w:cstheme="minorHAnsi"/>
                <w:color w:val="auto"/>
              </w:rPr>
              <w:t xml:space="preserve"> ft of new floorspace in the Cheshire Science Corridor EZ</w:t>
            </w:r>
          </w:p>
        </w:tc>
        <w:tc>
          <w:tcPr>
            <w:tcW w:w="1134" w:type="dxa"/>
            <w:hideMark/>
          </w:tcPr>
          <w:p w14:paraId="4CFFA62B"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7F71F7EA" w14:textId="77777777" w:rsidTr="00835A97">
        <w:trPr>
          <w:cnfStyle w:val="000000100000" w:firstRow="0" w:lastRow="0" w:firstColumn="0" w:lastColumn="0" w:oddVBand="0" w:evenVBand="0" w:oddHBand="1" w:evenHBand="0" w:firstRowFirstColumn="0" w:firstRowLastColumn="0" w:lastRowFirstColumn="0" w:lastRowLastColumn="0"/>
          <w:trHeight w:val="526"/>
        </w:trPr>
        <w:tc>
          <w:tcPr>
            <w:tcW w:w="7928" w:type="dxa"/>
            <w:hideMark/>
          </w:tcPr>
          <w:p w14:paraId="5D0838D4" w14:textId="77777777" w:rsidR="00E63B35" w:rsidRPr="00996926" w:rsidRDefault="00E63B35" w:rsidP="00835A97">
            <w:pPr>
              <w:spacing w:line="276" w:lineRule="auto"/>
              <w:jc w:val="both"/>
              <w:rPr>
                <w:rFonts w:cstheme="minorHAnsi"/>
                <w:color w:val="auto"/>
              </w:rPr>
            </w:pPr>
            <w:r w:rsidRPr="00996926">
              <w:rPr>
                <w:rFonts w:cstheme="minorHAnsi"/>
                <w:color w:val="auto"/>
              </w:rPr>
              <w:t>8. Leverage £72m of new public and private sector investment in the Cheshire Science Corridor EZ</w:t>
            </w:r>
          </w:p>
        </w:tc>
        <w:tc>
          <w:tcPr>
            <w:tcW w:w="1134" w:type="dxa"/>
            <w:hideMark/>
          </w:tcPr>
          <w:p w14:paraId="1F78FC40"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2B8766EE" w14:textId="77777777" w:rsidTr="00835A97">
        <w:trPr>
          <w:trHeight w:val="526"/>
        </w:trPr>
        <w:tc>
          <w:tcPr>
            <w:tcW w:w="7928" w:type="dxa"/>
            <w:hideMark/>
          </w:tcPr>
          <w:p w14:paraId="5240D5F3" w14:textId="77777777" w:rsidR="00E63B35" w:rsidRPr="00996926" w:rsidRDefault="00E63B35" w:rsidP="00835A97">
            <w:pPr>
              <w:spacing w:line="276" w:lineRule="auto"/>
              <w:jc w:val="both"/>
              <w:rPr>
                <w:rFonts w:cstheme="minorHAnsi"/>
                <w:color w:val="auto"/>
              </w:rPr>
            </w:pPr>
            <w:r w:rsidRPr="00996926">
              <w:rPr>
                <w:rFonts w:cstheme="minorHAnsi"/>
                <w:color w:val="auto"/>
              </w:rPr>
              <w:t>9. Generate £1.7m in retained business rates from the Cheshire Science Corridor EZ</w:t>
            </w:r>
          </w:p>
        </w:tc>
        <w:tc>
          <w:tcPr>
            <w:tcW w:w="1134" w:type="dxa"/>
            <w:hideMark/>
          </w:tcPr>
          <w:p w14:paraId="1C5CB48E"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66937C33" w14:textId="77777777" w:rsidTr="00835A97">
        <w:trPr>
          <w:cnfStyle w:val="000000100000" w:firstRow="0" w:lastRow="0" w:firstColumn="0" w:lastColumn="0" w:oddVBand="0" w:evenVBand="0" w:oddHBand="1" w:evenHBand="0" w:firstRowFirstColumn="0" w:firstRowLastColumn="0" w:lastRowFirstColumn="0" w:lastRowLastColumn="0"/>
          <w:trHeight w:val="526"/>
        </w:trPr>
        <w:tc>
          <w:tcPr>
            <w:tcW w:w="7928" w:type="dxa"/>
            <w:hideMark/>
          </w:tcPr>
          <w:p w14:paraId="04848CE9" w14:textId="77777777" w:rsidR="00E63B35" w:rsidRPr="00996926" w:rsidRDefault="00E63B35" w:rsidP="00835A97">
            <w:pPr>
              <w:spacing w:line="276" w:lineRule="auto"/>
              <w:jc w:val="both"/>
              <w:rPr>
                <w:rFonts w:cstheme="minorHAnsi"/>
                <w:color w:val="auto"/>
              </w:rPr>
            </w:pPr>
            <w:r w:rsidRPr="00996926">
              <w:rPr>
                <w:rFonts w:cstheme="minorHAnsi"/>
                <w:color w:val="auto"/>
              </w:rPr>
              <w:t>10. Support University of Chester to secure a JV partner for the development of Thornton Science Park</w:t>
            </w:r>
          </w:p>
        </w:tc>
        <w:tc>
          <w:tcPr>
            <w:tcW w:w="1134" w:type="dxa"/>
            <w:hideMark/>
          </w:tcPr>
          <w:p w14:paraId="6C1E6EF4"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76618AEA" w14:textId="77777777" w:rsidTr="00835A97">
        <w:trPr>
          <w:trHeight w:val="526"/>
        </w:trPr>
        <w:tc>
          <w:tcPr>
            <w:tcW w:w="7928" w:type="dxa"/>
            <w:hideMark/>
          </w:tcPr>
          <w:p w14:paraId="4310B094" w14:textId="77777777" w:rsidR="00E63B35" w:rsidRPr="00996926" w:rsidRDefault="00E63B35" w:rsidP="00835A97">
            <w:pPr>
              <w:spacing w:line="276" w:lineRule="auto"/>
              <w:jc w:val="both"/>
              <w:rPr>
                <w:rFonts w:cstheme="minorHAnsi"/>
                <w:color w:val="auto"/>
              </w:rPr>
            </w:pPr>
            <w:r w:rsidRPr="00996926">
              <w:rPr>
                <w:rFonts w:cstheme="minorHAnsi"/>
                <w:color w:val="auto"/>
              </w:rPr>
              <w:t>11.  Promote the wider science corridor in conjunction with neighbouring LEPs.</w:t>
            </w:r>
          </w:p>
        </w:tc>
        <w:tc>
          <w:tcPr>
            <w:tcW w:w="1134" w:type="dxa"/>
            <w:hideMark/>
          </w:tcPr>
          <w:p w14:paraId="725307DD"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r w:rsidR="00E63B35" w:rsidRPr="00996926" w14:paraId="2D2FAA13" w14:textId="77777777" w:rsidTr="00835A97">
        <w:trPr>
          <w:cnfStyle w:val="000000100000" w:firstRow="0" w:lastRow="0" w:firstColumn="0" w:lastColumn="0" w:oddVBand="0" w:evenVBand="0" w:oddHBand="1" w:evenHBand="0" w:firstRowFirstColumn="0" w:firstRowLastColumn="0" w:lastRowFirstColumn="0" w:lastRowLastColumn="0"/>
          <w:trHeight w:val="526"/>
        </w:trPr>
        <w:tc>
          <w:tcPr>
            <w:tcW w:w="7928" w:type="dxa"/>
            <w:hideMark/>
          </w:tcPr>
          <w:p w14:paraId="171B26ED" w14:textId="77777777" w:rsidR="00E63B35" w:rsidRPr="00996926" w:rsidRDefault="00E63B35" w:rsidP="00835A97">
            <w:pPr>
              <w:spacing w:line="276" w:lineRule="auto"/>
              <w:jc w:val="both"/>
              <w:rPr>
                <w:rFonts w:cstheme="minorHAnsi"/>
                <w:color w:val="auto"/>
              </w:rPr>
            </w:pPr>
            <w:r w:rsidRPr="00996926">
              <w:rPr>
                <w:rFonts w:cstheme="minorHAnsi"/>
                <w:color w:val="auto"/>
              </w:rPr>
              <w:t>12. Develop business cases for Enterprise Zones elsewhere in Cheshire and Warrington to be deployed when the opportunity arises.</w:t>
            </w:r>
          </w:p>
        </w:tc>
        <w:tc>
          <w:tcPr>
            <w:tcW w:w="1134" w:type="dxa"/>
            <w:hideMark/>
          </w:tcPr>
          <w:p w14:paraId="07B10594" w14:textId="77777777" w:rsidR="00E63B35" w:rsidRPr="00996926" w:rsidRDefault="00E63B35" w:rsidP="00835A97">
            <w:pPr>
              <w:spacing w:line="276" w:lineRule="auto"/>
              <w:jc w:val="both"/>
              <w:rPr>
                <w:rFonts w:cstheme="minorHAnsi"/>
                <w:color w:val="auto"/>
              </w:rPr>
            </w:pPr>
            <w:r w:rsidRPr="00996926">
              <w:rPr>
                <w:rFonts w:cstheme="minorHAnsi"/>
                <w:color w:val="auto"/>
              </w:rPr>
              <w:t>Q4</w:t>
            </w:r>
          </w:p>
        </w:tc>
      </w:tr>
    </w:tbl>
    <w:p w14:paraId="3F6E0C29" w14:textId="14824E59" w:rsidR="00996926" w:rsidRDefault="00996926" w:rsidP="00E63B35">
      <w:pPr>
        <w:pStyle w:val="Heading1"/>
        <w:numPr>
          <w:ilvl w:val="0"/>
          <w:numId w:val="1"/>
        </w:numPr>
        <w:jc w:val="both"/>
      </w:pPr>
      <w:bookmarkStart w:id="15" w:name="_Toc8293872"/>
      <w:r w:rsidRPr="00E442D8">
        <w:t>G</w:t>
      </w:r>
      <w:r>
        <w:t xml:space="preserve">rowing </w:t>
      </w:r>
      <w:r w:rsidRPr="00E442D8">
        <w:t>P</w:t>
      </w:r>
      <w:r>
        <w:t xml:space="preserve">laces </w:t>
      </w:r>
      <w:r w:rsidRPr="00E442D8">
        <w:t>F</w:t>
      </w:r>
      <w:r>
        <w:t>und</w:t>
      </w:r>
      <w:bookmarkEnd w:id="15"/>
    </w:p>
    <w:p w14:paraId="7BD547B3" w14:textId="70000270" w:rsidR="00996926" w:rsidRDefault="00996926" w:rsidP="00996926">
      <w:r>
        <w:t xml:space="preserve">Demand for Growing Places Funding increased during 18/19.  At present there are </w:t>
      </w:r>
      <w:proofErr w:type="gramStart"/>
      <w:r>
        <w:t>a number of</w:t>
      </w:r>
      <w:proofErr w:type="gramEnd"/>
      <w:r>
        <w:t xml:space="preserve"> applications under consideration.  If these opportunities are </w:t>
      </w:r>
      <w:proofErr w:type="gramStart"/>
      <w:r>
        <w:t>funded</w:t>
      </w:r>
      <w:proofErr w:type="gramEnd"/>
      <w:r>
        <w:t xml:space="preserve"> then the Fund will be fully invested until the existing investments are realised.</w:t>
      </w:r>
    </w:p>
    <w:p w14:paraId="45C3EB73" w14:textId="3380A2C8" w:rsidR="00746B90" w:rsidRPr="00746B90" w:rsidRDefault="00746B90" w:rsidP="000525CF">
      <w:pPr>
        <w:pStyle w:val="Heading1"/>
        <w:numPr>
          <w:ilvl w:val="0"/>
          <w:numId w:val="1"/>
        </w:numPr>
        <w:jc w:val="both"/>
        <w:rPr>
          <w:iCs/>
        </w:rPr>
      </w:pPr>
      <w:bookmarkStart w:id="16" w:name="_Toc8293873"/>
      <w:r w:rsidRPr="00746B90">
        <w:rPr>
          <w:iCs/>
        </w:rPr>
        <w:t>Cheshire and Warrington Urban Development Fund</w:t>
      </w:r>
      <w:bookmarkEnd w:id="16"/>
    </w:p>
    <w:p w14:paraId="4F40812E" w14:textId="640CB206" w:rsidR="00746B90" w:rsidRDefault="00746B90" w:rsidP="00746B90">
      <w:pPr>
        <w:rPr>
          <w:rStyle w:val="IntenseEmphasis"/>
          <w:i w:val="0"/>
          <w:color w:val="auto"/>
        </w:rPr>
      </w:pPr>
      <w:r w:rsidRPr="00746B90">
        <w:rPr>
          <w:rStyle w:val="IntenseEmphasis"/>
          <w:i w:val="0"/>
          <w:color w:val="auto"/>
        </w:rPr>
        <w:t>The LEP anticipates that a £20m Urban Development fund will be established early in 19/20 with the fund manager appointed and the new fund becoming operational by Summer 19.  It is expected that the fund will only make 4-8 investments in total and the first of these is expected before March 2020.</w:t>
      </w:r>
    </w:p>
    <w:p w14:paraId="34D71486" w14:textId="6FAB29F1" w:rsidR="00746B90" w:rsidRDefault="00746B90" w:rsidP="000525CF">
      <w:pPr>
        <w:pStyle w:val="Heading1"/>
        <w:numPr>
          <w:ilvl w:val="0"/>
          <w:numId w:val="1"/>
        </w:numPr>
      </w:pPr>
      <w:bookmarkStart w:id="17" w:name="_Toc8293874"/>
      <w:r>
        <w:lastRenderedPageBreak/>
        <w:t>European Structural Investment Funds</w:t>
      </w:r>
      <w:bookmarkEnd w:id="17"/>
    </w:p>
    <w:p w14:paraId="6B981408" w14:textId="5E655A83" w:rsidR="007A76C5" w:rsidRPr="00746B90" w:rsidRDefault="00746B90" w:rsidP="00746B90">
      <w:pPr>
        <w:spacing w:after="0" w:line="276" w:lineRule="auto"/>
        <w:jc w:val="both"/>
        <w:rPr>
          <w:rFonts w:cstheme="minorHAnsi"/>
        </w:rPr>
      </w:pPr>
      <w:r>
        <w:rPr>
          <w:rFonts w:cstheme="minorHAnsi"/>
        </w:rPr>
        <w:t>It is expected that all the E</w:t>
      </w:r>
      <w:r w:rsidR="00FA1CB4">
        <w:rPr>
          <w:rFonts w:cstheme="minorHAnsi"/>
        </w:rPr>
        <w:t xml:space="preserve">uropean </w:t>
      </w:r>
      <w:r>
        <w:rPr>
          <w:rFonts w:cstheme="minorHAnsi"/>
        </w:rPr>
        <w:t>S</w:t>
      </w:r>
      <w:r w:rsidR="00FA1CB4">
        <w:rPr>
          <w:rFonts w:cstheme="minorHAnsi"/>
        </w:rPr>
        <w:t xml:space="preserve">ocial </w:t>
      </w:r>
      <w:r>
        <w:rPr>
          <w:rFonts w:cstheme="minorHAnsi"/>
        </w:rPr>
        <w:t>F</w:t>
      </w:r>
      <w:r w:rsidR="00FA1CB4">
        <w:rPr>
          <w:rFonts w:cstheme="minorHAnsi"/>
        </w:rPr>
        <w:t>und</w:t>
      </w:r>
      <w:r>
        <w:rPr>
          <w:rFonts w:cstheme="minorHAnsi"/>
        </w:rPr>
        <w:t xml:space="preserve"> will be fully committed by that start of 19/20.  Therefore, the focus for 19/20 will be to deliver all the contracted ESF schemes and to run another call for projects to commit the remaining circa £15m of E</w:t>
      </w:r>
      <w:r w:rsidR="00FA1CB4">
        <w:rPr>
          <w:rFonts w:cstheme="minorHAnsi"/>
        </w:rPr>
        <w:t xml:space="preserve">uropean </w:t>
      </w:r>
      <w:r>
        <w:rPr>
          <w:rFonts w:cstheme="minorHAnsi"/>
        </w:rPr>
        <w:t>R</w:t>
      </w:r>
      <w:r w:rsidR="00FA1CB4">
        <w:rPr>
          <w:rFonts w:cstheme="minorHAnsi"/>
        </w:rPr>
        <w:t xml:space="preserve">egional </w:t>
      </w:r>
      <w:r>
        <w:rPr>
          <w:rFonts w:cstheme="minorHAnsi"/>
        </w:rPr>
        <w:t>D</w:t>
      </w:r>
      <w:r w:rsidR="00FA1CB4">
        <w:rPr>
          <w:rFonts w:cstheme="minorHAnsi"/>
        </w:rPr>
        <w:t xml:space="preserve">evelopment </w:t>
      </w:r>
      <w:r>
        <w:rPr>
          <w:rFonts w:cstheme="minorHAnsi"/>
        </w:rPr>
        <w:t>F</w:t>
      </w:r>
      <w:r w:rsidR="00FA1CB4">
        <w:rPr>
          <w:rFonts w:cstheme="minorHAnsi"/>
        </w:rPr>
        <w:t>unding</w:t>
      </w:r>
      <w:r>
        <w:rPr>
          <w:rFonts w:cstheme="minorHAnsi"/>
        </w:rPr>
        <w:t>.</w:t>
      </w:r>
    </w:p>
    <w:p w14:paraId="13EF5C80" w14:textId="3FC027DD" w:rsidR="000B44CF" w:rsidRDefault="000B44CF" w:rsidP="00746B90">
      <w:pPr>
        <w:pStyle w:val="Heading1"/>
        <w:numPr>
          <w:ilvl w:val="0"/>
          <w:numId w:val="1"/>
        </w:numPr>
      </w:pPr>
      <w:bookmarkStart w:id="18" w:name="_Toc8293878"/>
      <w:r>
        <w:t>Marketing</w:t>
      </w:r>
      <w:r w:rsidR="00B27927">
        <w:t xml:space="preserve"> and Communications</w:t>
      </w:r>
      <w:bookmarkEnd w:id="18"/>
      <w:r w:rsidR="00B27927">
        <w:t xml:space="preserve"> </w:t>
      </w:r>
    </w:p>
    <w:p w14:paraId="46068142" w14:textId="629541C4" w:rsidR="00B27927" w:rsidRDefault="00B27927" w:rsidP="00672C66">
      <w:pPr>
        <w:jc w:val="both"/>
      </w:pPr>
      <w:r>
        <w:t xml:space="preserve">With the appointment of a new Marketing Director in January 2019, marketing and communications activity for the 2019/20 financial year will be substantially increased.  Activity will focus on stakeholder and business engagement - supporting delivery of the LEP’s core programme areas and the profile of the LEP regionally and nationally.  </w:t>
      </w:r>
    </w:p>
    <w:p w14:paraId="2DA26D6B" w14:textId="308F7688" w:rsidR="004771A1" w:rsidRPr="004771A1" w:rsidRDefault="004771A1" w:rsidP="004771A1">
      <w:r>
        <w:t>Key targets for 2019/20 are:</w:t>
      </w:r>
    </w:p>
    <w:tbl>
      <w:tblPr>
        <w:tblStyle w:val="GridTable6Colorful-Accent1"/>
        <w:tblW w:w="9067" w:type="dxa"/>
        <w:tblLook w:val="0420" w:firstRow="1" w:lastRow="0" w:firstColumn="0" w:lastColumn="0" w:noHBand="0" w:noVBand="1"/>
      </w:tblPr>
      <w:tblGrid>
        <w:gridCol w:w="7933"/>
        <w:gridCol w:w="1134"/>
      </w:tblGrid>
      <w:tr w:rsidR="00672C66" w:rsidRPr="00672C66" w14:paraId="52BDA560" w14:textId="77777777" w:rsidTr="00C80DAC">
        <w:trPr>
          <w:cnfStyle w:val="100000000000" w:firstRow="1" w:lastRow="0" w:firstColumn="0" w:lastColumn="0" w:oddVBand="0" w:evenVBand="0" w:oddHBand="0" w:evenHBand="0" w:firstRowFirstColumn="0" w:firstRowLastColumn="0" w:lastRowFirstColumn="0" w:lastRowLastColumn="0"/>
          <w:trHeight w:val="584"/>
        </w:trPr>
        <w:tc>
          <w:tcPr>
            <w:tcW w:w="7933" w:type="dxa"/>
            <w:hideMark/>
          </w:tcPr>
          <w:p w14:paraId="74D0327A" w14:textId="77777777" w:rsidR="00672C66" w:rsidRPr="00672C66" w:rsidRDefault="00672C66" w:rsidP="00672C66">
            <w:pPr>
              <w:spacing w:after="160" w:line="259" w:lineRule="auto"/>
              <w:rPr>
                <w:b w:val="0"/>
                <w:color w:val="auto"/>
              </w:rPr>
            </w:pPr>
            <w:r w:rsidRPr="00672C66">
              <w:rPr>
                <w:b w:val="0"/>
                <w:color w:val="auto"/>
              </w:rPr>
              <w:t xml:space="preserve">1. Establish Marketing Cheshire Board’s leading governance role on Marcomms for LEP; working in partnership with local authority partners and other sub-committees as appropriate. </w:t>
            </w:r>
          </w:p>
        </w:tc>
        <w:tc>
          <w:tcPr>
            <w:tcW w:w="1134" w:type="dxa"/>
            <w:hideMark/>
          </w:tcPr>
          <w:p w14:paraId="722D6662" w14:textId="77777777" w:rsidR="00672C66" w:rsidRPr="00672C66" w:rsidRDefault="00672C66" w:rsidP="00672C66">
            <w:pPr>
              <w:spacing w:after="160" w:line="259" w:lineRule="auto"/>
              <w:rPr>
                <w:b w:val="0"/>
                <w:color w:val="auto"/>
              </w:rPr>
            </w:pPr>
            <w:r w:rsidRPr="00672C66">
              <w:rPr>
                <w:b w:val="0"/>
                <w:color w:val="auto"/>
              </w:rPr>
              <w:t>Q1</w:t>
            </w:r>
          </w:p>
        </w:tc>
      </w:tr>
      <w:tr w:rsidR="00672C66" w:rsidRPr="00672C66" w14:paraId="50E116B8" w14:textId="77777777" w:rsidTr="00C80DAC">
        <w:trPr>
          <w:cnfStyle w:val="000000100000" w:firstRow="0" w:lastRow="0" w:firstColumn="0" w:lastColumn="0" w:oddVBand="0" w:evenVBand="0" w:oddHBand="1" w:evenHBand="0" w:firstRowFirstColumn="0" w:firstRowLastColumn="0" w:lastRowFirstColumn="0" w:lastRowLastColumn="0"/>
          <w:trHeight w:val="584"/>
        </w:trPr>
        <w:tc>
          <w:tcPr>
            <w:tcW w:w="7933" w:type="dxa"/>
            <w:hideMark/>
          </w:tcPr>
          <w:p w14:paraId="648C2314" w14:textId="77777777" w:rsidR="00672C66" w:rsidRPr="00672C66" w:rsidRDefault="00672C66" w:rsidP="00672C66">
            <w:pPr>
              <w:spacing w:after="160" w:line="259" w:lineRule="auto"/>
              <w:rPr>
                <w:color w:val="auto"/>
              </w:rPr>
            </w:pPr>
            <w:r w:rsidRPr="00672C66">
              <w:rPr>
                <w:color w:val="auto"/>
              </w:rPr>
              <w:lastRenderedPageBreak/>
              <w:t xml:space="preserve">2. Develop and implement a multi-channel corporate communications and marketing plan, including delivery </w:t>
            </w:r>
            <w:proofErr w:type="gramStart"/>
            <w:r w:rsidRPr="00672C66">
              <w:rPr>
                <w:color w:val="auto"/>
              </w:rPr>
              <w:t>of  campaign</w:t>
            </w:r>
            <w:proofErr w:type="gramEnd"/>
            <w:r w:rsidRPr="00672C66">
              <w:rPr>
                <w:color w:val="auto"/>
              </w:rPr>
              <w:t xml:space="preserve"> activity</w:t>
            </w:r>
          </w:p>
        </w:tc>
        <w:tc>
          <w:tcPr>
            <w:tcW w:w="1134" w:type="dxa"/>
            <w:hideMark/>
          </w:tcPr>
          <w:p w14:paraId="6F2A9D4A" w14:textId="77777777" w:rsidR="00672C66" w:rsidRPr="00672C66" w:rsidRDefault="00672C66" w:rsidP="00672C66">
            <w:pPr>
              <w:spacing w:after="160" w:line="259" w:lineRule="auto"/>
              <w:rPr>
                <w:color w:val="auto"/>
              </w:rPr>
            </w:pPr>
            <w:r w:rsidRPr="00672C66">
              <w:rPr>
                <w:color w:val="auto"/>
              </w:rPr>
              <w:t>Q1</w:t>
            </w:r>
          </w:p>
        </w:tc>
      </w:tr>
      <w:tr w:rsidR="00672C66" w:rsidRPr="00672C66" w14:paraId="060FB678" w14:textId="77777777" w:rsidTr="00C80DAC">
        <w:trPr>
          <w:trHeight w:val="304"/>
        </w:trPr>
        <w:tc>
          <w:tcPr>
            <w:tcW w:w="7933" w:type="dxa"/>
            <w:hideMark/>
          </w:tcPr>
          <w:p w14:paraId="66316DFA" w14:textId="77777777" w:rsidR="00672C66" w:rsidRPr="00672C66" w:rsidRDefault="00672C66" w:rsidP="00672C66">
            <w:pPr>
              <w:spacing w:after="160" w:line="259" w:lineRule="auto"/>
              <w:rPr>
                <w:color w:val="auto"/>
              </w:rPr>
            </w:pPr>
            <w:r w:rsidRPr="00672C66">
              <w:rPr>
                <w:color w:val="auto"/>
              </w:rPr>
              <w:t>3. Development of a place marketing and inward investment strategy (including future appearances at MIPIM) for Cheshire and Warrington</w:t>
            </w:r>
          </w:p>
        </w:tc>
        <w:tc>
          <w:tcPr>
            <w:tcW w:w="1134" w:type="dxa"/>
            <w:hideMark/>
          </w:tcPr>
          <w:p w14:paraId="1155078F" w14:textId="77777777" w:rsidR="00672C66" w:rsidRPr="00672C66" w:rsidRDefault="00672C66" w:rsidP="00672C66">
            <w:pPr>
              <w:spacing w:after="160" w:line="259" w:lineRule="auto"/>
              <w:rPr>
                <w:color w:val="auto"/>
              </w:rPr>
            </w:pPr>
            <w:r w:rsidRPr="00672C66">
              <w:rPr>
                <w:color w:val="auto"/>
              </w:rPr>
              <w:t>Q2</w:t>
            </w:r>
          </w:p>
        </w:tc>
      </w:tr>
      <w:tr w:rsidR="00672C66" w:rsidRPr="00672C66" w14:paraId="26F9BCE7" w14:textId="77777777" w:rsidTr="00C80DAC">
        <w:trPr>
          <w:cnfStyle w:val="000000100000" w:firstRow="0" w:lastRow="0" w:firstColumn="0" w:lastColumn="0" w:oddVBand="0" w:evenVBand="0" w:oddHBand="1" w:evenHBand="0" w:firstRowFirstColumn="0" w:firstRowLastColumn="0" w:lastRowFirstColumn="0" w:lastRowLastColumn="0"/>
          <w:trHeight w:val="584"/>
        </w:trPr>
        <w:tc>
          <w:tcPr>
            <w:tcW w:w="7933" w:type="dxa"/>
            <w:hideMark/>
          </w:tcPr>
          <w:p w14:paraId="23D7D1F1" w14:textId="77777777" w:rsidR="00672C66" w:rsidRPr="00672C66" w:rsidRDefault="00672C66" w:rsidP="00672C66">
            <w:pPr>
              <w:spacing w:after="160" w:line="259" w:lineRule="auto"/>
              <w:rPr>
                <w:color w:val="auto"/>
              </w:rPr>
            </w:pPr>
            <w:r w:rsidRPr="00672C66">
              <w:rPr>
                <w:color w:val="auto"/>
              </w:rPr>
              <w:t>4. Deliver a programme of events and associated communications activity to support the work of the Growth Hub, to support increased stakeholder engagement activity</w:t>
            </w:r>
          </w:p>
        </w:tc>
        <w:tc>
          <w:tcPr>
            <w:tcW w:w="1134" w:type="dxa"/>
            <w:hideMark/>
          </w:tcPr>
          <w:p w14:paraId="299DD4CE" w14:textId="77777777" w:rsidR="00672C66" w:rsidRPr="00672C66" w:rsidRDefault="00672C66" w:rsidP="00672C66">
            <w:pPr>
              <w:spacing w:after="160" w:line="259" w:lineRule="auto"/>
              <w:rPr>
                <w:color w:val="auto"/>
              </w:rPr>
            </w:pPr>
            <w:r w:rsidRPr="00672C66">
              <w:rPr>
                <w:color w:val="auto"/>
              </w:rPr>
              <w:t>Ongoing</w:t>
            </w:r>
          </w:p>
        </w:tc>
      </w:tr>
      <w:tr w:rsidR="00672C66" w:rsidRPr="00672C66" w14:paraId="5CF10396" w14:textId="77777777" w:rsidTr="00C80DAC">
        <w:trPr>
          <w:trHeight w:val="584"/>
        </w:trPr>
        <w:tc>
          <w:tcPr>
            <w:tcW w:w="7933" w:type="dxa"/>
            <w:hideMark/>
          </w:tcPr>
          <w:p w14:paraId="55D0AA21" w14:textId="77777777" w:rsidR="00672C66" w:rsidRPr="00672C66" w:rsidRDefault="00672C66" w:rsidP="00672C66">
            <w:pPr>
              <w:spacing w:after="160" w:line="259" w:lineRule="auto"/>
              <w:rPr>
                <w:color w:val="auto"/>
              </w:rPr>
            </w:pPr>
            <w:r w:rsidRPr="00672C66">
              <w:rPr>
                <w:color w:val="auto"/>
              </w:rPr>
              <w:t>5. Developing a comprehensive database of stakeholders and businesses, to support effective and increased engagement (captured and maintained within the LEP’s CRM system)</w:t>
            </w:r>
          </w:p>
        </w:tc>
        <w:tc>
          <w:tcPr>
            <w:tcW w:w="1134" w:type="dxa"/>
            <w:hideMark/>
          </w:tcPr>
          <w:p w14:paraId="411BA761" w14:textId="77777777" w:rsidR="00672C66" w:rsidRPr="00672C66" w:rsidRDefault="00672C66" w:rsidP="00672C66">
            <w:pPr>
              <w:spacing w:after="160" w:line="259" w:lineRule="auto"/>
              <w:rPr>
                <w:color w:val="auto"/>
              </w:rPr>
            </w:pPr>
            <w:r w:rsidRPr="00672C66">
              <w:rPr>
                <w:color w:val="auto"/>
              </w:rPr>
              <w:t>Ongoing</w:t>
            </w:r>
          </w:p>
        </w:tc>
      </w:tr>
      <w:tr w:rsidR="00672C66" w:rsidRPr="00672C66" w14:paraId="36A2459B" w14:textId="77777777" w:rsidTr="00C80DAC">
        <w:trPr>
          <w:cnfStyle w:val="000000100000" w:firstRow="0" w:lastRow="0" w:firstColumn="0" w:lastColumn="0" w:oddVBand="0" w:evenVBand="0" w:oddHBand="1" w:evenHBand="0" w:firstRowFirstColumn="0" w:firstRowLastColumn="0" w:lastRowFirstColumn="0" w:lastRowLastColumn="0"/>
          <w:trHeight w:val="584"/>
        </w:trPr>
        <w:tc>
          <w:tcPr>
            <w:tcW w:w="7933" w:type="dxa"/>
            <w:hideMark/>
          </w:tcPr>
          <w:p w14:paraId="2523790C" w14:textId="77777777" w:rsidR="00672C66" w:rsidRPr="00672C66" w:rsidRDefault="00672C66" w:rsidP="00672C66">
            <w:pPr>
              <w:spacing w:after="160" w:line="259" w:lineRule="auto"/>
              <w:rPr>
                <w:color w:val="auto"/>
              </w:rPr>
            </w:pPr>
            <w:r w:rsidRPr="00672C66">
              <w:rPr>
                <w:color w:val="auto"/>
              </w:rPr>
              <w:t>6. Review the LEP Brand and that of its sub-brands (Growth Hub, Science Corridor, Skills/Pledge/IoT)</w:t>
            </w:r>
          </w:p>
        </w:tc>
        <w:tc>
          <w:tcPr>
            <w:tcW w:w="1134" w:type="dxa"/>
            <w:hideMark/>
          </w:tcPr>
          <w:p w14:paraId="5CE775E2" w14:textId="77777777" w:rsidR="00672C66" w:rsidRPr="00672C66" w:rsidRDefault="00672C66" w:rsidP="00672C66">
            <w:pPr>
              <w:spacing w:after="160" w:line="259" w:lineRule="auto"/>
              <w:rPr>
                <w:color w:val="auto"/>
              </w:rPr>
            </w:pPr>
            <w:r w:rsidRPr="00672C66">
              <w:rPr>
                <w:color w:val="auto"/>
              </w:rPr>
              <w:t>Q2</w:t>
            </w:r>
          </w:p>
        </w:tc>
      </w:tr>
      <w:tr w:rsidR="00672C66" w:rsidRPr="00672C66" w14:paraId="0BD89294" w14:textId="77777777" w:rsidTr="00C80DAC">
        <w:trPr>
          <w:trHeight w:val="584"/>
        </w:trPr>
        <w:tc>
          <w:tcPr>
            <w:tcW w:w="7933" w:type="dxa"/>
            <w:hideMark/>
          </w:tcPr>
          <w:p w14:paraId="0A55115F" w14:textId="77777777" w:rsidR="00672C66" w:rsidRPr="00672C66" w:rsidRDefault="00672C66" w:rsidP="00672C66">
            <w:pPr>
              <w:spacing w:after="160" w:line="259" w:lineRule="auto"/>
              <w:rPr>
                <w:color w:val="auto"/>
              </w:rPr>
            </w:pPr>
            <w:r w:rsidRPr="00672C66">
              <w:rPr>
                <w:color w:val="auto"/>
              </w:rPr>
              <w:t>7. Redevelopment of the LEP website including the site for the Growth Hub, Science Corridor and Invest in Cheshire, to support increased stakeholder and business engagement activity</w:t>
            </w:r>
          </w:p>
        </w:tc>
        <w:tc>
          <w:tcPr>
            <w:tcW w:w="1134" w:type="dxa"/>
            <w:hideMark/>
          </w:tcPr>
          <w:p w14:paraId="7C88169D" w14:textId="77777777" w:rsidR="00672C66" w:rsidRPr="00672C66" w:rsidRDefault="00672C66" w:rsidP="00672C66">
            <w:pPr>
              <w:spacing w:after="160" w:line="259" w:lineRule="auto"/>
              <w:rPr>
                <w:color w:val="auto"/>
              </w:rPr>
            </w:pPr>
            <w:r w:rsidRPr="00672C66">
              <w:rPr>
                <w:color w:val="auto"/>
              </w:rPr>
              <w:t>Q2</w:t>
            </w:r>
          </w:p>
        </w:tc>
      </w:tr>
      <w:tr w:rsidR="00672C66" w:rsidRPr="00672C66" w14:paraId="201CABC7" w14:textId="77777777" w:rsidTr="00C80DAC">
        <w:trPr>
          <w:cnfStyle w:val="000000100000" w:firstRow="0" w:lastRow="0" w:firstColumn="0" w:lastColumn="0" w:oddVBand="0" w:evenVBand="0" w:oddHBand="1" w:evenHBand="0" w:firstRowFirstColumn="0" w:firstRowLastColumn="0" w:lastRowFirstColumn="0" w:lastRowLastColumn="0"/>
          <w:trHeight w:val="584"/>
        </w:trPr>
        <w:tc>
          <w:tcPr>
            <w:tcW w:w="7933" w:type="dxa"/>
            <w:hideMark/>
          </w:tcPr>
          <w:p w14:paraId="0E7BEFE4" w14:textId="77777777" w:rsidR="00672C66" w:rsidRPr="00672C66" w:rsidRDefault="00672C66" w:rsidP="00672C66">
            <w:pPr>
              <w:spacing w:after="160" w:line="259" w:lineRule="auto"/>
              <w:rPr>
                <w:color w:val="auto"/>
              </w:rPr>
            </w:pPr>
            <w:r w:rsidRPr="00672C66">
              <w:rPr>
                <w:color w:val="auto"/>
              </w:rPr>
              <w:t xml:space="preserve">8. Implementation (and ongoing evaluation) of plans </w:t>
            </w:r>
          </w:p>
        </w:tc>
        <w:tc>
          <w:tcPr>
            <w:tcW w:w="1134" w:type="dxa"/>
            <w:hideMark/>
          </w:tcPr>
          <w:p w14:paraId="43AEB32D" w14:textId="77777777" w:rsidR="00672C66" w:rsidRPr="00672C66" w:rsidRDefault="00672C66" w:rsidP="00672C66">
            <w:pPr>
              <w:spacing w:after="160" w:line="259" w:lineRule="auto"/>
              <w:rPr>
                <w:color w:val="auto"/>
              </w:rPr>
            </w:pPr>
            <w:r w:rsidRPr="00672C66">
              <w:rPr>
                <w:color w:val="auto"/>
              </w:rPr>
              <w:t>Q4</w:t>
            </w:r>
          </w:p>
        </w:tc>
      </w:tr>
    </w:tbl>
    <w:p w14:paraId="752B9D96" w14:textId="102FDF7E" w:rsidR="00E63B35" w:rsidRDefault="00E63B35" w:rsidP="000525CF">
      <w:pPr>
        <w:pStyle w:val="Heading1"/>
        <w:numPr>
          <w:ilvl w:val="0"/>
          <w:numId w:val="1"/>
        </w:numPr>
        <w:jc w:val="both"/>
      </w:pPr>
      <w:bookmarkStart w:id="19" w:name="_Toc8293856"/>
      <w:r>
        <w:t>Overview of LEP Governance</w:t>
      </w:r>
      <w:bookmarkEnd w:id="19"/>
    </w:p>
    <w:p w14:paraId="25497D41" w14:textId="77777777" w:rsidR="00E63B35" w:rsidRDefault="00E63B35" w:rsidP="00E63B35">
      <w:pPr>
        <w:jc w:val="both"/>
      </w:pPr>
      <w:r>
        <w:t>The governance of the LEP has continued to develop to follow guidance issued by MHCLG, most notably in the National Assurance Framework (NAF).</w:t>
      </w:r>
    </w:p>
    <w:p w14:paraId="0F56E089" w14:textId="77777777" w:rsidR="00E63B35" w:rsidRDefault="00E63B35" w:rsidP="00E63B35">
      <w:pPr>
        <w:jc w:val="both"/>
      </w:pPr>
      <w:r>
        <w:t xml:space="preserve">The CWLEP’s Local Assurance Framework has been updated following the publication of the NAF in January 2019.  A copy of the LAF can be found here: </w:t>
      </w:r>
      <w:hyperlink r:id="rId15" w:history="1">
        <w:r w:rsidRPr="0001458E">
          <w:rPr>
            <w:rStyle w:val="Hyperlink"/>
          </w:rPr>
          <w:t>http://www.871candwep.co.uk/how-we-work/</w:t>
        </w:r>
      </w:hyperlink>
    </w:p>
    <w:p w14:paraId="12F0AAE9" w14:textId="77777777" w:rsidR="00E63B35" w:rsidRDefault="00E63B35" w:rsidP="00E63B35">
      <w:pPr>
        <w:jc w:val="both"/>
      </w:pPr>
      <w:r>
        <w:t xml:space="preserve">A key change that the LEP is making following best practice and the latest NAF is that LEP sub-committees will in future comprise a Chair and Deputy Chair from the main Board, a </w:t>
      </w:r>
      <w:r>
        <w:rPr>
          <w:u w:val="single"/>
        </w:rPr>
        <w:t>named</w:t>
      </w:r>
      <w:r>
        <w:t xml:space="preserve"> representative from each of the Local Authorities and sufficient additional private sector membership to ensure the committees have active, well informed discussions.  The additional private sector members will be appointed through an open and transparent process.</w:t>
      </w:r>
    </w:p>
    <w:p w14:paraId="35D95688" w14:textId="77777777" w:rsidR="00E63B35" w:rsidRDefault="00E63B35" w:rsidP="00E63B35">
      <w:pPr>
        <w:jc w:val="both"/>
      </w:pPr>
      <w:r>
        <w:t>Terms of reference for each of the committees can be found in the Assurance Framework on the LEP website.</w:t>
      </w:r>
    </w:p>
    <w:p w14:paraId="6DD9677C" w14:textId="77777777" w:rsidR="00E63B35" w:rsidRDefault="00E63B35" w:rsidP="00E63B35">
      <w:pPr>
        <w:pStyle w:val="Heading1"/>
        <w:numPr>
          <w:ilvl w:val="1"/>
          <w:numId w:val="1"/>
        </w:numPr>
        <w:jc w:val="both"/>
      </w:pPr>
      <w:bookmarkStart w:id="20" w:name="_Toc8293857"/>
      <w:r>
        <w:t>Governance Key Actions for 2019/20</w:t>
      </w:r>
      <w:bookmarkEnd w:id="20"/>
    </w:p>
    <w:p w14:paraId="4863F635" w14:textId="77777777" w:rsidR="00E63B35" w:rsidRPr="00B1667C" w:rsidRDefault="00E63B35" w:rsidP="00E63B35">
      <w:r>
        <w:t>The other key targets as the LEP develops its governance over the next twelve months are:</w:t>
      </w:r>
    </w:p>
    <w:tbl>
      <w:tblPr>
        <w:tblStyle w:val="GridTable6Colorful-Accent2"/>
        <w:tblW w:w="9067" w:type="dxa"/>
        <w:tblLook w:val="0420" w:firstRow="1" w:lastRow="0" w:firstColumn="0" w:lastColumn="0" w:noHBand="0" w:noVBand="1"/>
      </w:tblPr>
      <w:tblGrid>
        <w:gridCol w:w="7933"/>
        <w:gridCol w:w="1134"/>
      </w:tblGrid>
      <w:tr w:rsidR="00E63B35" w:rsidRPr="00D52811" w14:paraId="4967AB92" w14:textId="77777777" w:rsidTr="00835A97">
        <w:trPr>
          <w:cnfStyle w:val="100000000000" w:firstRow="1" w:lastRow="0" w:firstColumn="0" w:lastColumn="0" w:oddVBand="0" w:evenVBand="0" w:oddHBand="0" w:evenHBand="0" w:firstRowFirstColumn="0" w:firstRowLastColumn="0" w:lastRowFirstColumn="0" w:lastRowLastColumn="0"/>
          <w:trHeight w:val="730"/>
        </w:trPr>
        <w:tc>
          <w:tcPr>
            <w:tcW w:w="7933" w:type="dxa"/>
            <w:hideMark/>
          </w:tcPr>
          <w:p w14:paraId="3DE93A54" w14:textId="77777777" w:rsidR="00E63B35" w:rsidRPr="00D52811" w:rsidRDefault="00E63B35" w:rsidP="00835A97">
            <w:pPr>
              <w:spacing w:after="160" w:line="259" w:lineRule="auto"/>
              <w:rPr>
                <w:b w:val="0"/>
                <w:color w:val="auto"/>
              </w:rPr>
            </w:pPr>
            <w:r w:rsidRPr="00D52811">
              <w:rPr>
                <w:b w:val="0"/>
                <w:color w:val="auto"/>
              </w:rPr>
              <w:t>Appointment of Finance Director and incorporation of Marketing Cheshire into LEP’s governance structure</w:t>
            </w:r>
          </w:p>
        </w:tc>
        <w:tc>
          <w:tcPr>
            <w:tcW w:w="1134" w:type="dxa"/>
            <w:hideMark/>
          </w:tcPr>
          <w:p w14:paraId="376F71A6" w14:textId="77777777" w:rsidR="00E63B35" w:rsidRPr="00D52811" w:rsidRDefault="00E63B35" w:rsidP="00835A97">
            <w:pPr>
              <w:spacing w:after="160" w:line="259" w:lineRule="auto"/>
              <w:rPr>
                <w:b w:val="0"/>
                <w:color w:val="auto"/>
              </w:rPr>
            </w:pPr>
            <w:r w:rsidRPr="00D52811">
              <w:rPr>
                <w:b w:val="0"/>
                <w:color w:val="auto"/>
              </w:rPr>
              <w:t>Q1</w:t>
            </w:r>
          </w:p>
        </w:tc>
      </w:tr>
      <w:tr w:rsidR="00E63B35" w:rsidRPr="00D52811" w14:paraId="7A94BCB4" w14:textId="77777777" w:rsidTr="00835A97">
        <w:trPr>
          <w:cnfStyle w:val="000000100000" w:firstRow="0" w:lastRow="0" w:firstColumn="0" w:lastColumn="0" w:oddVBand="0" w:evenVBand="0" w:oddHBand="1" w:evenHBand="0" w:firstRowFirstColumn="0" w:firstRowLastColumn="0" w:lastRowFirstColumn="0" w:lastRowLastColumn="0"/>
          <w:trHeight w:val="730"/>
        </w:trPr>
        <w:tc>
          <w:tcPr>
            <w:tcW w:w="7933" w:type="dxa"/>
            <w:hideMark/>
          </w:tcPr>
          <w:p w14:paraId="292DD7B5" w14:textId="77777777" w:rsidR="00E63B35" w:rsidRPr="00D52811" w:rsidRDefault="00E63B35" w:rsidP="00835A97">
            <w:pPr>
              <w:spacing w:after="160" w:line="259" w:lineRule="auto"/>
              <w:rPr>
                <w:color w:val="auto"/>
              </w:rPr>
            </w:pPr>
            <w:r w:rsidRPr="00D52811">
              <w:rPr>
                <w:color w:val="auto"/>
              </w:rPr>
              <w:t>Commence recruitment of a new Chair to ensure a timely handover</w:t>
            </w:r>
          </w:p>
        </w:tc>
        <w:tc>
          <w:tcPr>
            <w:tcW w:w="1134" w:type="dxa"/>
            <w:hideMark/>
          </w:tcPr>
          <w:p w14:paraId="5EB90229" w14:textId="77777777" w:rsidR="00E63B35" w:rsidRPr="00D52811" w:rsidRDefault="00E63B35" w:rsidP="00835A97">
            <w:pPr>
              <w:spacing w:after="160" w:line="259" w:lineRule="auto"/>
              <w:rPr>
                <w:color w:val="auto"/>
              </w:rPr>
            </w:pPr>
            <w:r w:rsidRPr="00D52811">
              <w:rPr>
                <w:color w:val="auto"/>
              </w:rPr>
              <w:t>Q2</w:t>
            </w:r>
          </w:p>
        </w:tc>
      </w:tr>
      <w:tr w:rsidR="00E63B35" w:rsidRPr="00D52811" w14:paraId="2D2B31E4" w14:textId="77777777" w:rsidTr="00835A97">
        <w:trPr>
          <w:trHeight w:val="584"/>
        </w:trPr>
        <w:tc>
          <w:tcPr>
            <w:tcW w:w="7933" w:type="dxa"/>
            <w:hideMark/>
          </w:tcPr>
          <w:p w14:paraId="37182F1E" w14:textId="77777777" w:rsidR="00E63B35" w:rsidRPr="00D52811" w:rsidRDefault="00E63B35" w:rsidP="00835A97">
            <w:pPr>
              <w:spacing w:after="160" w:line="259" w:lineRule="auto"/>
              <w:rPr>
                <w:color w:val="auto"/>
              </w:rPr>
            </w:pPr>
            <w:r w:rsidRPr="00D52811">
              <w:rPr>
                <w:color w:val="auto"/>
              </w:rPr>
              <w:t xml:space="preserve">Formulating membership of LEP sub-committees to enable them to take delegated financial decisions, including open recruitment of private sector members  </w:t>
            </w:r>
          </w:p>
        </w:tc>
        <w:tc>
          <w:tcPr>
            <w:tcW w:w="1134" w:type="dxa"/>
            <w:hideMark/>
          </w:tcPr>
          <w:p w14:paraId="35D450C4" w14:textId="77777777" w:rsidR="00E63B35" w:rsidRPr="00D52811" w:rsidRDefault="00E63B35" w:rsidP="00835A97">
            <w:pPr>
              <w:spacing w:after="160" w:line="259" w:lineRule="auto"/>
              <w:rPr>
                <w:color w:val="auto"/>
              </w:rPr>
            </w:pPr>
            <w:r w:rsidRPr="00D52811">
              <w:rPr>
                <w:color w:val="auto"/>
              </w:rPr>
              <w:t>Q1</w:t>
            </w:r>
          </w:p>
        </w:tc>
      </w:tr>
      <w:tr w:rsidR="00E63B35" w:rsidRPr="00D52811" w14:paraId="051DE61A" w14:textId="77777777" w:rsidTr="00835A97">
        <w:trPr>
          <w:cnfStyle w:val="000000100000" w:firstRow="0" w:lastRow="0" w:firstColumn="0" w:lastColumn="0" w:oddVBand="0" w:evenVBand="0" w:oddHBand="1" w:evenHBand="0" w:firstRowFirstColumn="0" w:firstRowLastColumn="0" w:lastRowFirstColumn="0" w:lastRowLastColumn="0"/>
        </w:trPr>
        <w:tc>
          <w:tcPr>
            <w:tcW w:w="7933" w:type="dxa"/>
            <w:hideMark/>
          </w:tcPr>
          <w:p w14:paraId="6D25C4A1" w14:textId="77777777" w:rsidR="00E63B35" w:rsidRPr="00D52811" w:rsidRDefault="00E63B35" w:rsidP="00835A97">
            <w:pPr>
              <w:spacing w:after="160" w:line="259" w:lineRule="auto"/>
              <w:rPr>
                <w:color w:val="auto"/>
              </w:rPr>
            </w:pPr>
            <w:r w:rsidRPr="00D52811">
              <w:rPr>
                <w:color w:val="auto"/>
              </w:rPr>
              <w:t>Establishment of:</w:t>
            </w:r>
          </w:p>
          <w:p w14:paraId="5CF5354B" w14:textId="77777777" w:rsidR="00E63B35" w:rsidRPr="00D52811" w:rsidRDefault="00E63B35" w:rsidP="00835A97">
            <w:pPr>
              <w:numPr>
                <w:ilvl w:val="0"/>
                <w:numId w:val="17"/>
              </w:numPr>
              <w:spacing w:after="160" w:line="259" w:lineRule="auto"/>
              <w:rPr>
                <w:color w:val="auto"/>
              </w:rPr>
            </w:pPr>
            <w:r w:rsidRPr="00D52811">
              <w:rPr>
                <w:color w:val="auto"/>
              </w:rPr>
              <w:t>Business Growth Committee</w:t>
            </w:r>
          </w:p>
          <w:p w14:paraId="460A7229" w14:textId="77777777" w:rsidR="00E63B35" w:rsidRPr="00D52811" w:rsidRDefault="00E63B35" w:rsidP="00835A97">
            <w:pPr>
              <w:numPr>
                <w:ilvl w:val="0"/>
                <w:numId w:val="17"/>
              </w:numPr>
              <w:spacing w:after="160" w:line="259" w:lineRule="auto"/>
              <w:rPr>
                <w:color w:val="auto"/>
              </w:rPr>
            </w:pPr>
            <w:r w:rsidRPr="00D52811">
              <w:rPr>
                <w:color w:val="auto"/>
              </w:rPr>
              <w:t>Inward investment Strategy Group</w:t>
            </w:r>
          </w:p>
        </w:tc>
        <w:tc>
          <w:tcPr>
            <w:tcW w:w="1134" w:type="dxa"/>
            <w:hideMark/>
          </w:tcPr>
          <w:p w14:paraId="19CA68A9" w14:textId="77777777" w:rsidR="00E63B35" w:rsidRPr="00D52811" w:rsidRDefault="00E63B35" w:rsidP="00835A97">
            <w:pPr>
              <w:spacing w:after="160" w:line="259" w:lineRule="auto"/>
              <w:rPr>
                <w:color w:val="auto"/>
              </w:rPr>
            </w:pPr>
            <w:r w:rsidRPr="00D52811">
              <w:rPr>
                <w:color w:val="auto"/>
              </w:rPr>
              <w:t>Q1</w:t>
            </w:r>
          </w:p>
        </w:tc>
      </w:tr>
      <w:tr w:rsidR="00E63B35" w:rsidRPr="00D52811" w14:paraId="2D969CD1" w14:textId="77777777" w:rsidTr="00835A97">
        <w:tc>
          <w:tcPr>
            <w:tcW w:w="7933" w:type="dxa"/>
            <w:hideMark/>
          </w:tcPr>
          <w:p w14:paraId="67112A97" w14:textId="77777777" w:rsidR="00E63B35" w:rsidRPr="00D52811" w:rsidRDefault="00E63B35" w:rsidP="00835A97">
            <w:pPr>
              <w:spacing w:after="160" w:line="259" w:lineRule="auto"/>
              <w:rPr>
                <w:color w:val="auto"/>
              </w:rPr>
            </w:pPr>
            <w:r w:rsidRPr="00D52811">
              <w:rPr>
                <w:color w:val="auto"/>
              </w:rPr>
              <w:t>Publish Annual Review</w:t>
            </w:r>
          </w:p>
        </w:tc>
        <w:tc>
          <w:tcPr>
            <w:tcW w:w="1134" w:type="dxa"/>
            <w:hideMark/>
          </w:tcPr>
          <w:p w14:paraId="189BD712" w14:textId="77777777" w:rsidR="00E63B35" w:rsidRPr="00D52811" w:rsidRDefault="00E63B35" w:rsidP="00835A97">
            <w:pPr>
              <w:spacing w:after="160" w:line="259" w:lineRule="auto"/>
              <w:rPr>
                <w:color w:val="auto"/>
              </w:rPr>
            </w:pPr>
            <w:r w:rsidRPr="00D52811">
              <w:rPr>
                <w:color w:val="auto"/>
              </w:rPr>
              <w:t>Q2</w:t>
            </w:r>
          </w:p>
        </w:tc>
      </w:tr>
      <w:tr w:rsidR="00E63B35" w:rsidRPr="00D52811" w14:paraId="1CCD1BE8" w14:textId="77777777" w:rsidTr="00835A97">
        <w:trPr>
          <w:cnfStyle w:val="000000100000" w:firstRow="0" w:lastRow="0" w:firstColumn="0" w:lastColumn="0" w:oddVBand="0" w:evenVBand="0" w:oddHBand="1" w:evenHBand="0" w:firstRowFirstColumn="0" w:firstRowLastColumn="0" w:lastRowFirstColumn="0" w:lastRowLastColumn="0"/>
          <w:trHeight w:val="584"/>
        </w:trPr>
        <w:tc>
          <w:tcPr>
            <w:tcW w:w="7933" w:type="dxa"/>
            <w:hideMark/>
          </w:tcPr>
          <w:p w14:paraId="060AB826" w14:textId="77777777" w:rsidR="00E63B35" w:rsidRPr="00D52811" w:rsidRDefault="00E63B35" w:rsidP="00835A97">
            <w:pPr>
              <w:spacing w:after="160" w:line="259" w:lineRule="auto"/>
              <w:rPr>
                <w:color w:val="auto"/>
              </w:rPr>
            </w:pPr>
            <w:r w:rsidRPr="00D52811">
              <w:rPr>
                <w:color w:val="auto"/>
              </w:rPr>
              <w:t>Hold an Annual General Meeting</w:t>
            </w:r>
          </w:p>
        </w:tc>
        <w:tc>
          <w:tcPr>
            <w:tcW w:w="1134" w:type="dxa"/>
            <w:hideMark/>
          </w:tcPr>
          <w:p w14:paraId="64474273" w14:textId="77777777" w:rsidR="00E63B35" w:rsidRPr="00D52811" w:rsidRDefault="00E63B35" w:rsidP="00835A97">
            <w:pPr>
              <w:spacing w:after="160" w:line="259" w:lineRule="auto"/>
              <w:rPr>
                <w:color w:val="auto"/>
              </w:rPr>
            </w:pPr>
            <w:r w:rsidRPr="00D52811">
              <w:rPr>
                <w:color w:val="auto"/>
              </w:rPr>
              <w:t>Q2</w:t>
            </w:r>
          </w:p>
        </w:tc>
      </w:tr>
      <w:tr w:rsidR="00E63B35" w:rsidRPr="00D52811" w14:paraId="7E7F5AF0" w14:textId="77777777" w:rsidTr="00835A97">
        <w:trPr>
          <w:trHeight w:val="584"/>
        </w:trPr>
        <w:tc>
          <w:tcPr>
            <w:tcW w:w="7933" w:type="dxa"/>
            <w:hideMark/>
          </w:tcPr>
          <w:p w14:paraId="03B45CDD" w14:textId="77777777" w:rsidR="00E63B35" w:rsidRPr="00D52811" w:rsidRDefault="00E63B35" w:rsidP="00835A97">
            <w:pPr>
              <w:spacing w:after="160" w:line="259" w:lineRule="auto"/>
              <w:rPr>
                <w:color w:val="auto"/>
              </w:rPr>
            </w:pPr>
            <w:r w:rsidRPr="00D52811">
              <w:rPr>
                <w:color w:val="auto"/>
              </w:rPr>
              <w:t>Review and update the Local Assurance Framework</w:t>
            </w:r>
          </w:p>
        </w:tc>
        <w:tc>
          <w:tcPr>
            <w:tcW w:w="1134" w:type="dxa"/>
            <w:hideMark/>
          </w:tcPr>
          <w:p w14:paraId="395B4BFF" w14:textId="77777777" w:rsidR="00E63B35" w:rsidRPr="00D52811" w:rsidRDefault="00E63B35" w:rsidP="00835A97">
            <w:pPr>
              <w:spacing w:after="160" w:line="259" w:lineRule="auto"/>
              <w:rPr>
                <w:color w:val="auto"/>
              </w:rPr>
            </w:pPr>
            <w:r w:rsidRPr="00D52811">
              <w:rPr>
                <w:color w:val="auto"/>
              </w:rPr>
              <w:t>Q4</w:t>
            </w:r>
          </w:p>
        </w:tc>
      </w:tr>
      <w:tr w:rsidR="00E63B35" w:rsidRPr="00D52811" w14:paraId="76EDE7F3" w14:textId="77777777" w:rsidTr="00835A97">
        <w:trPr>
          <w:cnfStyle w:val="000000100000" w:firstRow="0" w:lastRow="0" w:firstColumn="0" w:lastColumn="0" w:oddVBand="0" w:evenVBand="0" w:oddHBand="1" w:evenHBand="0" w:firstRowFirstColumn="0" w:firstRowLastColumn="0" w:lastRowFirstColumn="0" w:lastRowLastColumn="0"/>
        </w:trPr>
        <w:tc>
          <w:tcPr>
            <w:tcW w:w="7933" w:type="dxa"/>
            <w:hideMark/>
          </w:tcPr>
          <w:p w14:paraId="76D09934" w14:textId="77777777" w:rsidR="00E63B35" w:rsidRPr="00D52811" w:rsidRDefault="00E63B35" w:rsidP="00835A97">
            <w:pPr>
              <w:spacing w:after="160" w:line="259" w:lineRule="auto"/>
              <w:rPr>
                <w:color w:val="auto"/>
              </w:rPr>
            </w:pPr>
            <w:r w:rsidRPr="00D52811">
              <w:rPr>
                <w:color w:val="auto"/>
              </w:rPr>
              <w:t xml:space="preserve">Establish a Junior LEP Board </w:t>
            </w:r>
          </w:p>
        </w:tc>
        <w:tc>
          <w:tcPr>
            <w:tcW w:w="1134" w:type="dxa"/>
            <w:hideMark/>
          </w:tcPr>
          <w:p w14:paraId="3B924F03" w14:textId="77777777" w:rsidR="00E63B35" w:rsidRPr="00D52811" w:rsidRDefault="00E63B35" w:rsidP="00835A97">
            <w:pPr>
              <w:spacing w:after="160" w:line="259" w:lineRule="auto"/>
              <w:rPr>
                <w:color w:val="auto"/>
              </w:rPr>
            </w:pPr>
            <w:r w:rsidRPr="00D52811">
              <w:rPr>
                <w:color w:val="auto"/>
              </w:rPr>
              <w:t>Q4</w:t>
            </w:r>
          </w:p>
        </w:tc>
      </w:tr>
    </w:tbl>
    <w:p w14:paraId="1FE84885" w14:textId="77777777" w:rsidR="00E63B35" w:rsidRDefault="00E63B35" w:rsidP="00E63B35"/>
    <w:p w14:paraId="2D32D7E1" w14:textId="77777777" w:rsidR="00E63B35" w:rsidRDefault="00E63B35" w:rsidP="00E63B35">
      <w:r>
        <w:t>Special emphasis will be given to equality and increasing the number of women on the LEP Board through the next and future rounds of recruitment.</w:t>
      </w:r>
    </w:p>
    <w:p w14:paraId="64ED3FB4" w14:textId="77777777" w:rsidR="00D8575C" w:rsidRPr="00D8575C" w:rsidRDefault="00D8575C" w:rsidP="00D8575C">
      <w:pPr>
        <w:pStyle w:val="ListParagraph"/>
        <w:spacing w:line="252" w:lineRule="auto"/>
        <w:ind w:left="1440"/>
        <w:rPr>
          <w:rFonts w:eastAsia="Times New Roman"/>
        </w:rPr>
      </w:pPr>
    </w:p>
    <w:p w14:paraId="113B508C" w14:textId="2385ADBC" w:rsidR="00C80DAC" w:rsidRDefault="00C80DAC">
      <w:pPr>
        <w:rPr>
          <w:rFonts w:cstheme="minorHAnsi"/>
          <w:sz w:val="24"/>
          <w:szCs w:val="24"/>
        </w:rPr>
      </w:pPr>
      <w:r>
        <w:rPr>
          <w:rFonts w:cstheme="minorHAnsi"/>
          <w:sz w:val="24"/>
          <w:szCs w:val="24"/>
        </w:rPr>
        <w:br w:type="page"/>
      </w:r>
    </w:p>
    <w:p w14:paraId="175B8C0A" w14:textId="40457E6E" w:rsidR="0084473F" w:rsidRPr="00C80DAC" w:rsidRDefault="00996926" w:rsidP="00C80DAC">
      <w:pPr>
        <w:pStyle w:val="Heading1"/>
        <w:jc w:val="both"/>
        <w:rPr>
          <w:rFonts w:asciiTheme="minorHAnsi" w:hAnsiTheme="minorHAnsi" w:cstheme="minorHAnsi"/>
        </w:rPr>
      </w:pPr>
      <w:r w:rsidRPr="00C80DAC">
        <w:rPr>
          <w:rFonts w:asciiTheme="minorHAnsi" w:hAnsiTheme="minorHAnsi" w:cstheme="minorHAnsi"/>
        </w:rPr>
        <w:lastRenderedPageBreak/>
        <w:t xml:space="preserve"> </w:t>
      </w:r>
      <w:bookmarkStart w:id="21" w:name="_Toc8293880"/>
      <w:r w:rsidRPr="00C80DAC">
        <w:rPr>
          <w:rFonts w:asciiTheme="minorHAnsi" w:hAnsiTheme="minorHAnsi" w:cstheme="minorHAnsi"/>
        </w:rPr>
        <w:t>Appendix 1</w:t>
      </w:r>
      <w:bookmarkEnd w:id="21"/>
    </w:p>
    <w:p w14:paraId="3C091BD2" w14:textId="447D0F25" w:rsidR="00996926" w:rsidRDefault="00996926" w:rsidP="00E442D8">
      <w:pPr>
        <w:jc w:val="both"/>
        <w:rPr>
          <w:sz w:val="24"/>
          <w:szCs w:val="24"/>
        </w:rPr>
      </w:pPr>
      <w:bookmarkStart w:id="22" w:name="_GoBack"/>
      <w:bookmarkEnd w:id="22"/>
    </w:p>
    <w:p w14:paraId="7824A706" w14:textId="087CF747" w:rsidR="00996926" w:rsidRPr="00E04F3F" w:rsidRDefault="00BA0CB3" w:rsidP="00996926">
      <w:pPr>
        <w:pStyle w:val="Heading1"/>
        <w:jc w:val="both"/>
        <w:rPr>
          <w:rFonts w:asciiTheme="minorHAnsi" w:hAnsiTheme="minorHAnsi" w:cstheme="minorHAnsi"/>
        </w:rPr>
      </w:pPr>
      <w:bookmarkStart w:id="23" w:name="_Toc8293881"/>
      <w:r>
        <w:rPr>
          <w:rFonts w:asciiTheme="minorHAnsi" w:hAnsiTheme="minorHAnsi" w:cstheme="minorHAnsi"/>
        </w:rPr>
        <w:t xml:space="preserve">Details of </w:t>
      </w:r>
      <w:r w:rsidR="00996926" w:rsidRPr="00E04F3F">
        <w:rPr>
          <w:rFonts w:asciiTheme="minorHAnsi" w:hAnsiTheme="minorHAnsi" w:cstheme="minorHAnsi"/>
        </w:rPr>
        <w:t>LGF Project</w:t>
      </w:r>
      <w:r>
        <w:rPr>
          <w:rFonts w:asciiTheme="minorHAnsi" w:hAnsiTheme="minorHAnsi" w:cstheme="minorHAnsi"/>
        </w:rPr>
        <w:t>s</w:t>
      </w:r>
      <w:r w:rsidR="00996926" w:rsidRPr="00E04F3F">
        <w:rPr>
          <w:rFonts w:asciiTheme="minorHAnsi" w:hAnsiTheme="minorHAnsi" w:cstheme="minorHAnsi"/>
        </w:rPr>
        <w:t xml:space="preserve"> to be delivered in in 19/20</w:t>
      </w:r>
      <w:bookmarkEnd w:id="23"/>
    </w:p>
    <w:p w14:paraId="31287895" w14:textId="77777777" w:rsidR="00996926" w:rsidRPr="00E442D8" w:rsidRDefault="00996926" w:rsidP="00996926">
      <w:pPr>
        <w:jc w:val="both"/>
        <w:rPr>
          <w:sz w:val="24"/>
          <w:szCs w:val="24"/>
        </w:rPr>
      </w:pPr>
      <w:r>
        <w:rPr>
          <w:sz w:val="24"/>
          <w:szCs w:val="24"/>
        </w:rPr>
        <w:t>Details of the funding due to LGF projects in 19/20 and expected start and finish dates are included in the table below.</w:t>
      </w:r>
    </w:p>
    <w:tbl>
      <w:tblPr>
        <w:tblW w:w="8660" w:type="dxa"/>
        <w:tblInd w:w="-5" w:type="dxa"/>
        <w:tblLook w:val="04A0" w:firstRow="1" w:lastRow="0" w:firstColumn="1" w:lastColumn="0" w:noHBand="0" w:noVBand="1"/>
      </w:tblPr>
      <w:tblGrid>
        <w:gridCol w:w="2580"/>
        <w:gridCol w:w="1920"/>
        <w:gridCol w:w="1920"/>
        <w:gridCol w:w="1120"/>
        <w:gridCol w:w="1120"/>
      </w:tblGrid>
      <w:tr w:rsidR="00996926" w:rsidRPr="00E442D8" w14:paraId="71970818" w14:textId="77777777" w:rsidTr="008978E0">
        <w:trPr>
          <w:trHeight w:val="945"/>
        </w:trPr>
        <w:tc>
          <w:tcPr>
            <w:tcW w:w="2580" w:type="dxa"/>
            <w:tcBorders>
              <w:top w:val="single" w:sz="4" w:space="0" w:color="auto"/>
              <w:left w:val="single" w:sz="4" w:space="0" w:color="auto"/>
              <w:bottom w:val="single" w:sz="4" w:space="0" w:color="auto"/>
              <w:right w:val="single" w:sz="4" w:space="0" w:color="auto"/>
            </w:tcBorders>
            <w:shd w:val="clear" w:color="auto" w:fill="C4BCC6" w:themeFill="accent6" w:themeFillTint="99"/>
            <w:vAlign w:val="center"/>
            <w:hideMark/>
          </w:tcPr>
          <w:p w14:paraId="78A6B914"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Project Name</w:t>
            </w:r>
          </w:p>
        </w:tc>
        <w:tc>
          <w:tcPr>
            <w:tcW w:w="1920" w:type="dxa"/>
            <w:tcBorders>
              <w:top w:val="single" w:sz="4" w:space="0" w:color="auto"/>
              <w:left w:val="nil"/>
              <w:bottom w:val="single" w:sz="4" w:space="0" w:color="auto"/>
              <w:right w:val="single" w:sz="4" w:space="0" w:color="auto"/>
            </w:tcBorders>
            <w:shd w:val="clear" w:color="auto" w:fill="C4BCC6" w:themeFill="accent6" w:themeFillTint="99"/>
            <w:noWrap/>
            <w:vAlign w:val="bottom"/>
            <w:hideMark/>
          </w:tcPr>
          <w:p w14:paraId="2F172303" w14:textId="77777777" w:rsidR="00996926" w:rsidRPr="00E442D8" w:rsidRDefault="00996926" w:rsidP="008978E0">
            <w:pPr>
              <w:spacing w:after="0" w:line="240" w:lineRule="auto"/>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lang w:val="en-US"/>
              </w:rPr>
              <w:t>Total Project Cost £</w:t>
            </w:r>
          </w:p>
        </w:tc>
        <w:tc>
          <w:tcPr>
            <w:tcW w:w="19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25A6EF8D"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LGF grant due in 19/20 (£)</w:t>
            </w:r>
          </w:p>
        </w:tc>
        <w:tc>
          <w:tcPr>
            <w:tcW w:w="11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1040B650"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Start date</w:t>
            </w:r>
          </w:p>
        </w:tc>
        <w:tc>
          <w:tcPr>
            <w:tcW w:w="11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1D9ED67C"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Finish date</w:t>
            </w:r>
          </w:p>
        </w:tc>
      </w:tr>
      <w:tr w:rsidR="00996926" w:rsidRPr="00E442D8" w14:paraId="43D505D1"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4A1E71A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Sydney Road Bridge</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0CFA49D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10,378,000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8F0805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100,000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3D78A0B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Jun-18</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57BB345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May-19</w:t>
            </w:r>
          </w:p>
        </w:tc>
      </w:tr>
      <w:tr w:rsidR="00996926" w:rsidRPr="00E442D8" w14:paraId="2F3172AB" w14:textId="77777777" w:rsidTr="008978E0">
        <w:trPr>
          <w:trHeight w:val="9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5E4CEC9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GM &amp; Cheshire Life Science Investment </w:t>
            </w:r>
            <w:proofErr w:type="spellStart"/>
            <w:r w:rsidRPr="00E442D8">
              <w:rPr>
                <w:rFonts w:ascii="Calibri" w:eastAsia="Times New Roman" w:hAnsi="Calibri" w:cs="Calibri"/>
                <w:color w:val="000000"/>
                <w:lang w:val="en-US"/>
              </w:rPr>
              <w:t>Programme</w:t>
            </w:r>
            <w:proofErr w:type="spellEnd"/>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481CD8C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31,982,000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5B65E6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808,776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104F9FA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Dec-16</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59ABCF0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Dec-20</w:t>
            </w:r>
          </w:p>
        </w:tc>
      </w:tr>
      <w:tr w:rsidR="00996926" w:rsidRPr="00E442D8" w14:paraId="04E70B27"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1708D60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Warrington Centre Park Link</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9077E1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19,891,000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F7D375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530,000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41C199B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May-19</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3B31E9E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Mar-20</w:t>
            </w:r>
          </w:p>
        </w:tc>
      </w:tr>
      <w:tr w:rsidR="00996926" w:rsidRPr="00E442D8" w14:paraId="7A8012E4"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2EA38E8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Warrington West Station</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53A026E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19,694,000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200BBB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653,000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312F235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Jan-18</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786CA19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Aug-19</w:t>
            </w:r>
          </w:p>
        </w:tc>
      </w:tr>
      <w:tr w:rsidR="00996926" w:rsidRPr="00E442D8" w14:paraId="40E6ADE1" w14:textId="77777777" w:rsidTr="008978E0">
        <w:trPr>
          <w:trHeight w:val="6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1E61AA8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Ellesmere Port Central Development Zone</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23D857C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17,392,000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DAB8F5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2,445,000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9A6924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Aug-19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645DAC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May-21</w:t>
            </w:r>
          </w:p>
        </w:tc>
      </w:tr>
      <w:tr w:rsidR="00996926" w:rsidRPr="00E442D8" w14:paraId="799D464C"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6CA9634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Poynton Relief Road</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3953ADF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50,700,000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A465FC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8D46CB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Oct-19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85AAC9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Aug-21</w:t>
            </w:r>
          </w:p>
        </w:tc>
      </w:tr>
      <w:tr w:rsidR="00996926" w:rsidRPr="00E442D8" w14:paraId="3DAA6AC2" w14:textId="77777777" w:rsidTr="008978E0">
        <w:trPr>
          <w:trHeight w:val="6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219EB91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Crewe High Growth City – </w:t>
            </w:r>
            <w:proofErr w:type="spellStart"/>
            <w:r w:rsidRPr="00E442D8">
              <w:rPr>
                <w:rFonts w:ascii="Calibri" w:eastAsia="Times New Roman" w:hAnsi="Calibri" w:cs="Calibri"/>
                <w:color w:val="000000"/>
                <w:lang w:val="en-US"/>
              </w:rPr>
              <w:t>Congleton</w:t>
            </w:r>
            <w:proofErr w:type="spellEnd"/>
            <w:r w:rsidRPr="00E442D8">
              <w:rPr>
                <w:rFonts w:ascii="Calibri" w:eastAsia="Times New Roman" w:hAnsi="Calibri" w:cs="Calibri"/>
                <w:color w:val="000000"/>
                <w:lang w:val="en-US"/>
              </w:rPr>
              <w:t xml:space="preserve"> Link Road</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612F54F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89,600,000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FDC392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5,195,000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E88DBA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35EFA0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r>
      <w:tr w:rsidR="00996926" w:rsidRPr="00E442D8" w14:paraId="33F845E9" w14:textId="77777777" w:rsidTr="008978E0">
        <w:trPr>
          <w:trHeight w:val="9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4DCE5F4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Crewe High Speed-ready Heart Town Centre Regeneration </w:t>
            </w:r>
            <w:proofErr w:type="spellStart"/>
            <w:r w:rsidRPr="00E442D8">
              <w:rPr>
                <w:rFonts w:ascii="Calibri" w:eastAsia="Times New Roman" w:hAnsi="Calibri" w:cs="Calibri"/>
                <w:color w:val="000000"/>
                <w:lang w:val="en-US"/>
              </w:rPr>
              <w:t>Programme</w:t>
            </w:r>
            <w:proofErr w:type="spellEnd"/>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01292519"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24,700,000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280D37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1,716,684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33CB26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A95E82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Jul-21</w:t>
            </w:r>
          </w:p>
        </w:tc>
      </w:tr>
      <w:tr w:rsidR="00996926" w:rsidRPr="00E442D8" w14:paraId="3E526EFB"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569ECD6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Unlocking Winsford Industrial expansion Land</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53A55B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9F60B0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1,817,229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F12711F"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18AA116"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May-20</w:t>
            </w:r>
          </w:p>
        </w:tc>
      </w:tr>
      <w:tr w:rsidR="00996926" w:rsidRPr="00E442D8" w14:paraId="037CEC1A"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B78708B"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t>Tarvin</w:t>
            </w:r>
            <w:proofErr w:type="spellEnd"/>
            <w:r w:rsidRPr="00E442D8">
              <w:rPr>
                <w:rFonts w:ascii="Calibri" w:eastAsia="Times New Roman" w:hAnsi="Calibri" w:cs="Calibri"/>
                <w:color w:val="000000"/>
                <w:lang w:val="en-US"/>
              </w:rPr>
              <w:t xml:space="preserve"> Road</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682763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5,427,000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5FED1C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1,849,065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BC3CF4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1F307B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0D0CB3F6"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6A7A606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Warrington East Highways Improvements</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3D07F9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13,500,000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0BCBF7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409336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Sep-18</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0050E9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Sep-19</w:t>
            </w:r>
          </w:p>
        </w:tc>
      </w:tr>
      <w:tr w:rsidR="00996926" w:rsidRPr="00E442D8" w14:paraId="633E3DCD"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3B608B6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Omega Local Highways Schemes phase 2</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01D0E09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6,465,000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545939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2,500,000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93CF12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1FC9DC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Jan-21</w:t>
            </w:r>
          </w:p>
        </w:tc>
      </w:tr>
      <w:tr w:rsidR="00996926" w:rsidRPr="00E442D8" w14:paraId="2688724C"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65D5BF2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Skills</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412572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EA5C71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8D45E82"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July</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63A52D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5657A8F7"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5B959AE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Energy Innovation</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565AE0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4,151,070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8D2D96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BEC06FC"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Aug</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8D4CA0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12740B08" w14:textId="77777777" w:rsidTr="008978E0">
        <w:trPr>
          <w:trHeight w:val="300"/>
        </w:trPr>
        <w:tc>
          <w:tcPr>
            <w:tcW w:w="8660" w:type="dxa"/>
            <w:gridSpan w:val="5"/>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7BF9E292" w14:textId="77777777" w:rsidR="00996926" w:rsidRPr="00AD6FA7" w:rsidRDefault="00996926" w:rsidP="008978E0">
            <w:pPr>
              <w:spacing w:after="0" w:line="240" w:lineRule="auto"/>
              <w:jc w:val="both"/>
              <w:rPr>
                <w:rFonts w:ascii="Calibri" w:eastAsia="Times New Roman" w:hAnsi="Calibri" w:cs="Calibri"/>
                <w:b/>
                <w:color w:val="000000"/>
                <w:lang w:val="en-US"/>
              </w:rPr>
            </w:pPr>
            <w:r w:rsidRPr="00E442D8">
              <w:rPr>
                <w:rFonts w:ascii="Calibri" w:eastAsia="Times New Roman" w:hAnsi="Calibri" w:cs="Calibri"/>
                <w:b/>
                <w:color w:val="000000"/>
                <w:lang w:val="en-US"/>
              </w:rPr>
              <w:t>Joint Cheshire and Warrington Sustainable Travel Access Fund</w:t>
            </w:r>
          </w:p>
          <w:p w14:paraId="3C75E8E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w:t>
            </w:r>
          </w:p>
        </w:tc>
      </w:tr>
      <w:tr w:rsidR="00996926" w:rsidRPr="00E442D8" w14:paraId="6551CD82"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08D7FF1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lastRenderedPageBreak/>
              <w:t>Burtonwood Omega Path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161A5E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A26E15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09EBC10"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4A1915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10764101"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0E45EDB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Chester Road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BBC3D4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6F87731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A56BF80"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CFD6772"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June 20</w:t>
            </w:r>
          </w:p>
        </w:tc>
      </w:tr>
      <w:tr w:rsidR="00996926" w:rsidRPr="00E442D8" w14:paraId="1A2AB49E"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23A88CD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TPT Upgrade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43101C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371D328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628A16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FC52BB7"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June 20</w:t>
            </w:r>
          </w:p>
        </w:tc>
      </w:tr>
      <w:tr w:rsidR="00996926" w:rsidRPr="00E442D8" w14:paraId="108C7923"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35FE085"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t>Wilmslow</w:t>
            </w:r>
            <w:proofErr w:type="spellEnd"/>
            <w:r w:rsidRPr="00E442D8">
              <w:rPr>
                <w:rFonts w:ascii="Calibri" w:eastAsia="Times New Roman" w:hAnsi="Calibri" w:cs="Calibri"/>
                <w:color w:val="000000"/>
                <w:lang w:val="en-US"/>
              </w:rPr>
              <w:t xml:space="preserve"> Strategic Cycle and Walking route (CEC)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035475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1,300,000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56FE227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E7D8EAA"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1D7029F"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6D01FA5F"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80FF25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Northwest Crewe Cycling and Walking Link (CEC)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6D1613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2,145,000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98AE12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1,100,000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FEB95A3"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BD888B8"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3139386A"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FEEEE5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A5117 Cycle Route, Ellesmere Port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0C3A8C19"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602,000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3D1D64B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BAE6F58"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July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DF23DC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Mar 20</w:t>
            </w:r>
          </w:p>
        </w:tc>
      </w:tr>
      <w:tr w:rsidR="00996926" w:rsidRPr="00E442D8" w14:paraId="0B34A5A1"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B35FFAA"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 xml:space="preserve">Ellesmere Port </w:t>
            </w:r>
            <w:r w:rsidRPr="00E442D8">
              <w:rPr>
                <w:rFonts w:ascii="Calibri" w:eastAsia="Times New Roman" w:hAnsi="Calibri" w:cs="Calibri"/>
                <w:color w:val="000000"/>
                <w:lang w:val="en-US"/>
              </w:rPr>
              <w:t>Canal Towpath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19E0FB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4,379,000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07CD121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13B711D"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Oct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06F5C4C"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 20</w:t>
            </w:r>
          </w:p>
        </w:tc>
      </w:tr>
      <w:tr w:rsidR="00996926" w:rsidRPr="00E442D8" w14:paraId="3BDA5D01"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DC2D90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Sutton Way Boulevard, Ellesmere Port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70D66B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1,024,000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82B68A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45AC28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8E4C80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r>
      <w:tr w:rsidR="00996926" w:rsidRPr="00E442D8" w14:paraId="40A053EB" w14:textId="77777777" w:rsidTr="008978E0">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432ECC80"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t>Macclesfield</w:t>
            </w:r>
            <w:proofErr w:type="spellEnd"/>
            <w:r w:rsidRPr="00E442D8">
              <w:rPr>
                <w:rFonts w:ascii="Calibri" w:eastAsia="Times New Roman" w:hAnsi="Calibri" w:cs="Calibri"/>
                <w:color w:val="000000"/>
                <w:lang w:val="en-US"/>
              </w:rPr>
              <w:t xml:space="preserve"> </w:t>
            </w:r>
            <w:proofErr w:type="gramStart"/>
            <w:r w:rsidRPr="00E442D8">
              <w:rPr>
                <w:rFonts w:ascii="Calibri" w:eastAsia="Times New Roman" w:hAnsi="Calibri" w:cs="Calibri"/>
                <w:color w:val="000000"/>
                <w:lang w:val="en-US"/>
              </w:rPr>
              <w:t>College  -</w:t>
            </w:r>
            <w:proofErr w:type="gramEnd"/>
            <w:r w:rsidRPr="00E442D8">
              <w:rPr>
                <w:rFonts w:ascii="Calibri" w:eastAsia="Times New Roman" w:hAnsi="Calibri" w:cs="Calibri"/>
                <w:color w:val="000000"/>
                <w:lang w:val="en-US"/>
              </w:rPr>
              <w:t xml:space="preserve"> Chef's Whites Academy</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5681BD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6021DE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13000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A41929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Sep-18</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0A2624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Sep-19</w:t>
            </w:r>
          </w:p>
        </w:tc>
      </w:tr>
      <w:tr w:rsidR="00996926" w:rsidRPr="00E442D8" w14:paraId="7E93265B" w14:textId="77777777" w:rsidTr="008978E0">
        <w:trPr>
          <w:trHeight w:val="300"/>
        </w:trPr>
        <w:tc>
          <w:tcPr>
            <w:tcW w:w="4500" w:type="dxa"/>
            <w:gridSpan w:val="2"/>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61C04552" w14:textId="77777777" w:rsidR="00996926" w:rsidRPr="00E442D8" w:rsidRDefault="00996926" w:rsidP="008978E0">
            <w:pPr>
              <w:spacing w:after="0" w:line="240" w:lineRule="auto"/>
              <w:jc w:val="both"/>
              <w:rPr>
                <w:rFonts w:ascii="Calibri" w:eastAsia="Times New Roman" w:hAnsi="Calibri" w:cs="Calibri"/>
                <w:b/>
                <w:bCs/>
                <w:color w:val="000000"/>
                <w:lang w:val="en-US"/>
              </w:rPr>
            </w:pPr>
            <w:r w:rsidRPr="00E442D8">
              <w:rPr>
                <w:rFonts w:ascii="Calibri" w:eastAsia="Times New Roman" w:hAnsi="Calibri" w:cs="Calibri"/>
                <w:b/>
                <w:bCs/>
                <w:color w:val="000000"/>
                <w:lang w:val="en-US"/>
              </w:rPr>
              <w:t xml:space="preserve">Total </w:t>
            </w:r>
            <w:r>
              <w:rPr>
                <w:rFonts w:ascii="Calibri" w:eastAsia="Times New Roman" w:hAnsi="Calibri" w:cs="Calibri"/>
                <w:b/>
                <w:bCs/>
                <w:color w:val="000000"/>
                <w:lang w:val="en-US"/>
              </w:rPr>
              <w:t xml:space="preserve">projected </w:t>
            </w:r>
            <w:r w:rsidRPr="00E442D8">
              <w:rPr>
                <w:rFonts w:ascii="Calibri" w:eastAsia="Times New Roman" w:hAnsi="Calibri" w:cs="Calibri"/>
                <w:b/>
                <w:bCs/>
                <w:color w:val="000000"/>
                <w:lang w:val="en-US"/>
              </w:rPr>
              <w:t>LGF spen</w:t>
            </w:r>
            <w:r>
              <w:rPr>
                <w:rFonts w:ascii="Calibri" w:eastAsia="Times New Roman" w:hAnsi="Calibri" w:cs="Calibri"/>
                <w:b/>
                <w:bCs/>
                <w:color w:val="000000"/>
                <w:lang w:val="en-US"/>
              </w:rPr>
              <w:t>d</w:t>
            </w:r>
            <w:r w:rsidRPr="00E442D8">
              <w:rPr>
                <w:rFonts w:ascii="Calibri" w:eastAsia="Times New Roman" w:hAnsi="Calibri" w:cs="Calibri"/>
                <w:b/>
                <w:bCs/>
                <w:color w:val="000000"/>
                <w:lang w:val="en-US"/>
              </w:rPr>
              <w:t xml:space="preserve"> for 19/20</w:t>
            </w:r>
          </w:p>
        </w:tc>
        <w:tc>
          <w:tcPr>
            <w:tcW w:w="1920" w:type="dxa"/>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28304AA9" w14:textId="77777777" w:rsidR="00996926" w:rsidRPr="00E442D8" w:rsidRDefault="00996926" w:rsidP="008978E0">
            <w:pPr>
              <w:spacing w:after="0" w:line="240" w:lineRule="auto"/>
              <w:jc w:val="both"/>
              <w:rPr>
                <w:rFonts w:ascii="Calibri" w:eastAsia="Times New Roman" w:hAnsi="Calibri" w:cs="Calibri"/>
                <w:b/>
                <w:bCs/>
                <w:color w:val="000000"/>
                <w:lang w:val="en-US"/>
              </w:rPr>
            </w:pPr>
            <w:r w:rsidRPr="00E442D8">
              <w:rPr>
                <w:rFonts w:ascii="Calibri" w:eastAsia="Times New Roman" w:hAnsi="Calibri" w:cs="Calibri"/>
                <w:b/>
                <w:bCs/>
                <w:color w:val="000000"/>
                <w:lang w:val="en-US"/>
              </w:rPr>
              <w:t xml:space="preserve">                  23,127,754 </w:t>
            </w:r>
          </w:p>
        </w:tc>
        <w:tc>
          <w:tcPr>
            <w:tcW w:w="1120" w:type="dxa"/>
            <w:tcBorders>
              <w:top w:val="nil"/>
              <w:left w:val="single" w:sz="4" w:space="0" w:color="auto"/>
              <w:bottom w:val="nil"/>
              <w:right w:val="nil"/>
            </w:tcBorders>
            <w:shd w:val="clear" w:color="auto" w:fill="auto"/>
            <w:noWrap/>
            <w:vAlign w:val="bottom"/>
            <w:hideMark/>
          </w:tcPr>
          <w:p w14:paraId="5FACF023" w14:textId="77777777" w:rsidR="00996926" w:rsidRPr="00E442D8" w:rsidRDefault="00996926" w:rsidP="008978E0">
            <w:pPr>
              <w:spacing w:after="0" w:line="240" w:lineRule="auto"/>
              <w:jc w:val="both"/>
              <w:rPr>
                <w:rFonts w:ascii="Calibri" w:eastAsia="Times New Roman" w:hAnsi="Calibri" w:cs="Calibri"/>
                <w:b/>
                <w:bCs/>
                <w:color w:val="000000"/>
                <w:lang w:val="en-US"/>
              </w:rPr>
            </w:pPr>
          </w:p>
        </w:tc>
        <w:tc>
          <w:tcPr>
            <w:tcW w:w="1120" w:type="dxa"/>
            <w:tcBorders>
              <w:top w:val="nil"/>
              <w:left w:val="nil"/>
              <w:bottom w:val="nil"/>
              <w:right w:val="nil"/>
            </w:tcBorders>
            <w:shd w:val="clear" w:color="auto" w:fill="auto"/>
            <w:noWrap/>
            <w:vAlign w:val="bottom"/>
            <w:hideMark/>
          </w:tcPr>
          <w:p w14:paraId="08855825" w14:textId="77777777" w:rsidR="00996926" w:rsidRPr="00E442D8" w:rsidRDefault="00996926" w:rsidP="008978E0">
            <w:pPr>
              <w:spacing w:after="0" w:line="240" w:lineRule="auto"/>
              <w:jc w:val="both"/>
              <w:rPr>
                <w:rFonts w:ascii="Times New Roman" w:eastAsia="Times New Roman" w:hAnsi="Times New Roman" w:cs="Times New Roman"/>
                <w:sz w:val="20"/>
                <w:szCs w:val="20"/>
                <w:lang w:val="en-US"/>
              </w:rPr>
            </w:pPr>
          </w:p>
        </w:tc>
      </w:tr>
    </w:tbl>
    <w:p w14:paraId="0CBADFB4" w14:textId="77777777" w:rsidR="00996926" w:rsidRPr="00E442D8" w:rsidRDefault="00996926" w:rsidP="00E442D8">
      <w:pPr>
        <w:jc w:val="both"/>
        <w:rPr>
          <w:sz w:val="24"/>
          <w:szCs w:val="24"/>
        </w:rPr>
      </w:pPr>
    </w:p>
    <w:p w14:paraId="2E6FF45B" w14:textId="77777777" w:rsidR="0084473F" w:rsidRPr="00E442D8" w:rsidRDefault="0084473F" w:rsidP="00E442D8">
      <w:pPr>
        <w:jc w:val="both"/>
        <w:rPr>
          <w:sz w:val="24"/>
          <w:szCs w:val="24"/>
        </w:rPr>
      </w:pPr>
    </w:p>
    <w:p w14:paraId="07F63A1C" w14:textId="1563BDAB" w:rsidR="0084473F" w:rsidRPr="00E442D8" w:rsidRDefault="0084473F" w:rsidP="00E442D8">
      <w:pPr>
        <w:jc w:val="both"/>
        <w:rPr>
          <w:sz w:val="24"/>
          <w:szCs w:val="24"/>
        </w:rPr>
      </w:pPr>
      <w:r w:rsidRPr="00E442D8">
        <w:rPr>
          <w:sz w:val="24"/>
          <w:szCs w:val="24"/>
        </w:rPr>
        <w:t xml:space="preserve"> </w:t>
      </w:r>
    </w:p>
    <w:sectPr w:rsidR="0084473F" w:rsidRPr="00E442D8" w:rsidSect="00A8391F">
      <w:footerReference w:type="default" r:id="rId16"/>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9E18" w14:textId="77777777" w:rsidR="00B1667C" w:rsidRDefault="00B1667C" w:rsidP="002F5858">
      <w:pPr>
        <w:spacing w:after="0" w:line="240" w:lineRule="auto"/>
      </w:pPr>
      <w:r>
        <w:separator/>
      </w:r>
    </w:p>
  </w:endnote>
  <w:endnote w:type="continuationSeparator" w:id="0">
    <w:p w14:paraId="00279982" w14:textId="77777777" w:rsidR="00B1667C" w:rsidRDefault="00B1667C" w:rsidP="002F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958927"/>
      <w:docPartObj>
        <w:docPartGallery w:val="Page Numbers (Bottom of Page)"/>
        <w:docPartUnique/>
      </w:docPartObj>
    </w:sdtPr>
    <w:sdtEndPr>
      <w:rPr>
        <w:noProof/>
      </w:rPr>
    </w:sdtEndPr>
    <w:sdtContent>
      <w:p w14:paraId="2D730352" w14:textId="08172FD9" w:rsidR="00B1667C" w:rsidRDefault="00B1667C">
        <w:pPr>
          <w:pStyle w:val="Footer"/>
          <w:jc w:val="right"/>
        </w:pPr>
        <w:r w:rsidRPr="00E442D8">
          <w:rPr>
            <w:noProof/>
            <w:lang w:eastAsia="en-GB"/>
          </w:rPr>
          <w:drawing>
            <wp:anchor distT="0" distB="0" distL="114300" distR="114300" simplePos="0" relativeHeight="251659264" behindDoc="0" locked="0" layoutInCell="1" allowOverlap="1" wp14:anchorId="06E32C79" wp14:editId="37727DDE">
              <wp:simplePos x="0" y="0"/>
              <wp:positionH relativeFrom="margin">
                <wp:posOffset>47625</wp:posOffset>
              </wp:positionH>
              <wp:positionV relativeFrom="margin">
                <wp:posOffset>8466455</wp:posOffset>
              </wp:positionV>
              <wp:extent cx="866775" cy="855345"/>
              <wp:effectExtent l="0" t="0" r="9525" b="190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53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A8CF833" w14:textId="626CA38F" w:rsidR="00B1667C" w:rsidRDefault="00B1667C" w:rsidP="00DB6CE5">
    <w:pPr>
      <w:pStyle w:val="Footer"/>
      <w:jc w:val="center"/>
    </w:pPr>
    <w:r>
      <w:rPr>
        <w:noProof/>
      </w:rPr>
      <w:drawing>
        <wp:inline distT="0" distB="0" distL="0" distR="0" wp14:anchorId="6B1CE3CD" wp14:editId="47CC7AC9">
          <wp:extent cx="1731010" cy="541013"/>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76" cy="551129"/>
                  </a:xfrm>
                  <a:prstGeom prst="rect">
                    <a:avLst/>
                  </a:prstGeom>
                  <a:noFill/>
                  <a:ln>
                    <a:noFill/>
                  </a:ln>
                </pic:spPr>
              </pic:pic>
            </a:graphicData>
          </a:graphic>
        </wp:inline>
      </w:drawing>
    </w:r>
    <w:r>
      <w:rPr>
        <w:noProof/>
      </w:rPr>
      <w:t xml:space="preserve">                           </w:t>
    </w:r>
    <w:r>
      <w:rPr>
        <w:noProof/>
      </w:rPr>
      <w:drawing>
        <wp:inline distT="0" distB="0" distL="0" distR="0" wp14:anchorId="271CE484" wp14:editId="16DDDA83">
          <wp:extent cx="847725" cy="68948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324" cy="7005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0CB3" w14:textId="77777777" w:rsidR="00B1667C" w:rsidRDefault="00B1667C" w:rsidP="002F5858">
      <w:pPr>
        <w:spacing w:after="0" w:line="240" w:lineRule="auto"/>
      </w:pPr>
      <w:r>
        <w:separator/>
      </w:r>
    </w:p>
  </w:footnote>
  <w:footnote w:type="continuationSeparator" w:id="0">
    <w:p w14:paraId="1B86A30D" w14:textId="77777777" w:rsidR="00B1667C" w:rsidRDefault="00B1667C" w:rsidP="002F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C92"/>
    <w:multiLevelType w:val="hybridMultilevel"/>
    <w:tmpl w:val="F92A67CA"/>
    <w:lvl w:ilvl="0" w:tplc="1748A16C">
      <w:start w:val="1"/>
      <w:numFmt w:val="bullet"/>
      <w:lvlText w:val=""/>
      <w:lvlJc w:val="left"/>
      <w:pPr>
        <w:tabs>
          <w:tab w:val="num" w:pos="720"/>
        </w:tabs>
        <w:ind w:left="720" w:hanging="360"/>
      </w:pPr>
      <w:rPr>
        <w:rFonts w:ascii="Wingdings" w:hAnsi="Wingdings" w:hint="default"/>
      </w:rPr>
    </w:lvl>
    <w:lvl w:ilvl="1" w:tplc="52EED410" w:tentative="1">
      <w:start w:val="1"/>
      <w:numFmt w:val="bullet"/>
      <w:lvlText w:val=""/>
      <w:lvlJc w:val="left"/>
      <w:pPr>
        <w:tabs>
          <w:tab w:val="num" w:pos="1440"/>
        </w:tabs>
        <w:ind w:left="1440" w:hanging="360"/>
      </w:pPr>
      <w:rPr>
        <w:rFonts w:ascii="Wingdings" w:hAnsi="Wingdings" w:hint="default"/>
      </w:rPr>
    </w:lvl>
    <w:lvl w:ilvl="2" w:tplc="0A26926A" w:tentative="1">
      <w:start w:val="1"/>
      <w:numFmt w:val="bullet"/>
      <w:lvlText w:val=""/>
      <w:lvlJc w:val="left"/>
      <w:pPr>
        <w:tabs>
          <w:tab w:val="num" w:pos="2160"/>
        </w:tabs>
        <w:ind w:left="2160" w:hanging="360"/>
      </w:pPr>
      <w:rPr>
        <w:rFonts w:ascii="Wingdings" w:hAnsi="Wingdings" w:hint="default"/>
      </w:rPr>
    </w:lvl>
    <w:lvl w:ilvl="3" w:tplc="62D4C99C" w:tentative="1">
      <w:start w:val="1"/>
      <w:numFmt w:val="bullet"/>
      <w:lvlText w:val=""/>
      <w:lvlJc w:val="left"/>
      <w:pPr>
        <w:tabs>
          <w:tab w:val="num" w:pos="2880"/>
        </w:tabs>
        <w:ind w:left="2880" w:hanging="360"/>
      </w:pPr>
      <w:rPr>
        <w:rFonts w:ascii="Wingdings" w:hAnsi="Wingdings" w:hint="default"/>
      </w:rPr>
    </w:lvl>
    <w:lvl w:ilvl="4" w:tplc="E884D00E" w:tentative="1">
      <w:start w:val="1"/>
      <w:numFmt w:val="bullet"/>
      <w:lvlText w:val=""/>
      <w:lvlJc w:val="left"/>
      <w:pPr>
        <w:tabs>
          <w:tab w:val="num" w:pos="3600"/>
        </w:tabs>
        <w:ind w:left="3600" w:hanging="360"/>
      </w:pPr>
      <w:rPr>
        <w:rFonts w:ascii="Wingdings" w:hAnsi="Wingdings" w:hint="default"/>
      </w:rPr>
    </w:lvl>
    <w:lvl w:ilvl="5" w:tplc="303CC530" w:tentative="1">
      <w:start w:val="1"/>
      <w:numFmt w:val="bullet"/>
      <w:lvlText w:val=""/>
      <w:lvlJc w:val="left"/>
      <w:pPr>
        <w:tabs>
          <w:tab w:val="num" w:pos="4320"/>
        </w:tabs>
        <w:ind w:left="4320" w:hanging="360"/>
      </w:pPr>
      <w:rPr>
        <w:rFonts w:ascii="Wingdings" w:hAnsi="Wingdings" w:hint="default"/>
      </w:rPr>
    </w:lvl>
    <w:lvl w:ilvl="6" w:tplc="3CB43424" w:tentative="1">
      <w:start w:val="1"/>
      <w:numFmt w:val="bullet"/>
      <w:lvlText w:val=""/>
      <w:lvlJc w:val="left"/>
      <w:pPr>
        <w:tabs>
          <w:tab w:val="num" w:pos="5040"/>
        </w:tabs>
        <w:ind w:left="5040" w:hanging="360"/>
      </w:pPr>
      <w:rPr>
        <w:rFonts w:ascii="Wingdings" w:hAnsi="Wingdings" w:hint="default"/>
      </w:rPr>
    </w:lvl>
    <w:lvl w:ilvl="7" w:tplc="949C9932" w:tentative="1">
      <w:start w:val="1"/>
      <w:numFmt w:val="bullet"/>
      <w:lvlText w:val=""/>
      <w:lvlJc w:val="left"/>
      <w:pPr>
        <w:tabs>
          <w:tab w:val="num" w:pos="5760"/>
        </w:tabs>
        <w:ind w:left="5760" w:hanging="360"/>
      </w:pPr>
      <w:rPr>
        <w:rFonts w:ascii="Wingdings" w:hAnsi="Wingdings" w:hint="default"/>
      </w:rPr>
    </w:lvl>
    <w:lvl w:ilvl="8" w:tplc="86E6B3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B4347"/>
    <w:multiLevelType w:val="multilevel"/>
    <w:tmpl w:val="8F425AA4"/>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EC5C05"/>
    <w:multiLevelType w:val="hybridMultilevel"/>
    <w:tmpl w:val="E7FC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758B"/>
    <w:multiLevelType w:val="multilevel"/>
    <w:tmpl w:val="353CCE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6E49DB"/>
    <w:multiLevelType w:val="hybridMultilevel"/>
    <w:tmpl w:val="14D237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C3F2A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2865D0"/>
    <w:multiLevelType w:val="hybridMultilevel"/>
    <w:tmpl w:val="2E64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313B9"/>
    <w:multiLevelType w:val="hybridMultilevel"/>
    <w:tmpl w:val="BC62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25DFA"/>
    <w:multiLevelType w:val="hybridMultilevel"/>
    <w:tmpl w:val="1B7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92F03"/>
    <w:multiLevelType w:val="hybridMultilevel"/>
    <w:tmpl w:val="8E4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2831"/>
    <w:multiLevelType w:val="multilevel"/>
    <w:tmpl w:val="15F01AE0"/>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DEE0EE1"/>
    <w:multiLevelType w:val="hybridMultilevel"/>
    <w:tmpl w:val="A85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C0397"/>
    <w:multiLevelType w:val="hybridMultilevel"/>
    <w:tmpl w:val="C50E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3597E"/>
    <w:multiLevelType w:val="hybridMultilevel"/>
    <w:tmpl w:val="E83E1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BB0E26"/>
    <w:multiLevelType w:val="hybridMultilevel"/>
    <w:tmpl w:val="807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23E40"/>
    <w:multiLevelType w:val="hybridMultilevel"/>
    <w:tmpl w:val="C796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15CD3"/>
    <w:multiLevelType w:val="hybridMultilevel"/>
    <w:tmpl w:val="A6E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04558"/>
    <w:multiLevelType w:val="multilevel"/>
    <w:tmpl w:val="F6E07F3C"/>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9FB6E8D"/>
    <w:multiLevelType w:val="hybridMultilevel"/>
    <w:tmpl w:val="040EE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8"/>
  </w:num>
  <w:num w:numId="9">
    <w:abstractNumId w:val="9"/>
  </w:num>
  <w:num w:numId="10">
    <w:abstractNumId w:val="4"/>
  </w:num>
  <w:num w:numId="11">
    <w:abstractNumId w:val="11"/>
  </w:num>
  <w:num w:numId="12">
    <w:abstractNumId w:val="14"/>
  </w:num>
  <w:num w:numId="13">
    <w:abstractNumId w:val="15"/>
  </w:num>
  <w:num w:numId="14">
    <w:abstractNumId w:val="7"/>
  </w:num>
  <w:num w:numId="15">
    <w:abstractNumId w:val="16"/>
  </w:num>
  <w:num w:numId="16">
    <w:abstractNumId w:val="6"/>
  </w:num>
  <w:num w:numId="17">
    <w:abstractNumId w:val="0"/>
  </w:num>
  <w:num w:numId="18">
    <w:abstractNumId w:val="10"/>
  </w:num>
  <w:num w:numId="19">
    <w:abstractNumId w:val="17"/>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6"/>
    <w:rsid w:val="00000406"/>
    <w:rsid w:val="00047184"/>
    <w:rsid w:val="000525CF"/>
    <w:rsid w:val="00052C23"/>
    <w:rsid w:val="00076CFF"/>
    <w:rsid w:val="000A0D5B"/>
    <w:rsid w:val="000B44CF"/>
    <w:rsid w:val="000E27EE"/>
    <w:rsid w:val="000F3F47"/>
    <w:rsid w:val="00133BF7"/>
    <w:rsid w:val="00136C95"/>
    <w:rsid w:val="00144A31"/>
    <w:rsid w:val="0015355D"/>
    <w:rsid w:val="001615E8"/>
    <w:rsid w:val="001675BD"/>
    <w:rsid w:val="00183B4F"/>
    <w:rsid w:val="001E4CD6"/>
    <w:rsid w:val="001E7731"/>
    <w:rsid w:val="001F1CDF"/>
    <w:rsid w:val="0020187E"/>
    <w:rsid w:val="00203CEB"/>
    <w:rsid w:val="0021410F"/>
    <w:rsid w:val="00227E2E"/>
    <w:rsid w:val="00254420"/>
    <w:rsid w:val="00275079"/>
    <w:rsid w:val="002A6096"/>
    <w:rsid w:val="002A7F66"/>
    <w:rsid w:val="002C7743"/>
    <w:rsid w:val="002E1F47"/>
    <w:rsid w:val="002F5858"/>
    <w:rsid w:val="002F6C1F"/>
    <w:rsid w:val="00322CA3"/>
    <w:rsid w:val="00332B91"/>
    <w:rsid w:val="0034569A"/>
    <w:rsid w:val="00350ACD"/>
    <w:rsid w:val="003679A4"/>
    <w:rsid w:val="003859B9"/>
    <w:rsid w:val="00390E79"/>
    <w:rsid w:val="00394E62"/>
    <w:rsid w:val="0039779B"/>
    <w:rsid w:val="003F2853"/>
    <w:rsid w:val="0043212F"/>
    <w:rsid w:val="004442D3"/>
    <w:rsid w:val="004655CB"/>
    <w:rsid w:val="004771A1"/>
    <w:rsid w:val="00483324"/>
    <w:rsid w:val="004B1688"/>
    <w:rsid w:val="004B41E2"/>
    <w:rsid w:val="004C2295"/>
    <w:rsid w:val="004C30DE"/>
    <w:rsid w:val="004C65A5"/>
    <w:rsid w:val="004D74C9"/>
    <w:rsid w:val="004F6598"/>
    <w:rsid w:val="0050659C"/>
    <w:rsid w:val="00507A2E"/>
    <w:rsid w:val="00507FAC"/>
    <w:rsid w:val="0051570B"/>
    <w:rsid w:val="00522DEA"/>
    <w:rsid w:val="005453F3"/>
    <w:rsid w:val="00546760"/>
    <w:rsid w:val="0054697A"/>
    <w:rsid w:val="00560029"/>
    <w:rsid w:val="0056713A"/>
    <w:rsid w:val="00567FCB"/>
    <w:rsid w:val="00574A22"/>
    <w:rsid w:val="005829C7"/>
    <w:rsid w:val="0059436E"/>
    <w:rsid w:val="00596B2C"/>
    <w:rsid w:val="005A1EBC"/>
    <w:rsid w:val="005B6BD2"/>
    <w:rsid w:val="005E093F"/>
    <w:rsid w:val="005E48BA"/>
    <w:rsid w:val="005E72A5"/>
    <w:rsid w:val="005F174E"/>
    <w:rsid w:val="005F43CF"/>
    <w:rsid w:val="0060225A"/>
    <w:rsid w:val="00602BA7"/>
    <w:rsid w:val="00604E25"/>
    <w:rsid w:val="00613261"/>
    <w:rsid w:val="00615AF8"/>
    <w:rsid w:val="00621EC5"/>
    <w:rsid w:val="0062432C"/>
    <w:rsid w:val="00632F5D"/>
    <w:rsid w:val="00637248"/>
    <w:rsid w:val="00672C66"/>
    <w:rsid w:val="00672CA3"/>
    <w:rsid w:val="006933DC"/>
    <w:rsid w:val="006D3E17"/>
    <w:rsid w:val="006F136A"/>
    <w:rsid w:val="00732AFC"/>
    <w:rsid w:val="007465AE"/>
    <w:rsid w:val="00746B90"/>
    <w:rsid w:val="007623F7"/>
    <w:rsid w:val="00781E52"/>
    <w:rsid w:val="00796A79"/>
    <w:rsid w:val="007A76C5"/>
    <w:rsid w:val="007B747C"/>
    <w:rsid w:val="007C66A9"/>
    <w:rsid w:val="007F4FA4"/>
    <w:rsid w:val="008140B1"/>
    <w:rsid w:val="008256EE"/>
    <w:rsid w:val="00834D03"/>
    <w:rsid w:val="0084473F"/>
    <w:rsid w:val="0084746E"/>
    <w:rsid w:val="0087033A"/>
    <w:rsid w:val="00880A64"/>
    <w:rsid w:val="0089034D"/>
    <w:rsid w:val="0089408B"/>
    <w:rsid w:val="008978E0"/>
    <w:rsid w:val="008B39B7"/>
    <w:rsid w:val="008B5A27"/>
    <w:rsid w:val="00921B11"/>
    <w:rsid w:val="00924BA2"/>
    <w:rsid w:val="00942B15"/>
    <w:rsid w:val="00946B85"/>
    <w:rsid w:val="0094716B"/>
    <w:rsid w:val="0095073D"/>
    <w:rsid w:val="00987145"/>
    <w:rsid w:val="00996926"/>
    <w:rsid w:val="009A5C06"/>
    <w:rsid w:val="009E2053"/>
    <w:rsid w:val="009E2545"/>
    <w:rsid w:val="009E430A"/>
    <w:rsid w:val="00A0303D"/>
    <w:rsid w:val="00A23CD3"/>
    <w:rsid w:val="00A40C56"/>
    <w:rsid w:val="00A72A1A"/>
    <w:rsid w:val="00A75297"/>
    <w:rsid w:val="00A8391F"/>
    <w:rsid w:val="00A96CCD"/>
    <w:rsid w:val="00AA21F7"/>
    <w:rsid w:val="00AC0EBF"/>
    <w:rsid w:val="00AD6FA7"/>
    <w:rsid w:val="00B1667C"/>
    <w:rsid w:val="00B27927"/>
    <w:rsid w:val="00B334CF"/>
    <w:rsid w:val="00B57089"/>
    <w:rsid w:val="00B5734C"/>
    <w:rsid w:val="00B57E66"/>
    <w:rsid w:val="00B7324B"/>
    <w:rsid w:val="00B81893"/>
    <w:rsid w:val="00B94BA5"/>
    <w:rsid w:val="00BA0CB3"/>
    <w:rsid w:val="00BA24E1"/>
    <w:rsid w:val="00BA5B08"/>
    <w:rsid w:val="00BB51CD"/>
    <w:rsid w:val="00BC402E"/>
    <w:rsid w:val="00BD333A"/>
    <w:rsid w:val="00BD42D4"/>
    <w:rsid w:val="00BF3C6C"/>
    <w:rsid w:val="00C27ADE"/>
    <w:rsid w:val="00C36CED"/>
    <w:rsid w:val="00C71B39"/>
    <w:rsid w:val="00C7532A"/>
    <w:rsid w:val="00C80DAC"/>
    <w:rsid w:val="00C8358B"/>
    <w:rsid w:val="00CC0FA0"/>
    <w:rsid w:val="00CC6BE6"/>
    <w:rsid w:val="00CD1C54"/>
    <w:rsid w:val="00CD31BF"/>
    <w:rsid w:val="00CE2D0F"/>
    <w:rsid w:val="00D016E0"/>
    <w:rsid w:val="00D12366"/>
    <w:rsid w:val="00D412D8"/>
    <w:rsid w:val="00D52811"/>
    <w:rsid w:val="00D8575C"/>
    <w:rsid w:val="00DA3522"/>
    <w:rsid w:val="00DA45D2"/>
    <w:rsid w:val="00DB54A2"/>
    <w:rsid w:val="00DB6CE5"/>
    <w:rsid w:val="00DB746C"/>
    <w:rsid w:val="00DD28F7"/>
    <w:rsid w:val="00DD3285"/>
    <w:rsid w:val="00DD7686"/>
    <w:rsid w:val="00E04F3F"/>
    <w:rsid w:val="00E15815"/>
    <w:rsid w:val="00E27BB3"/>
    <w:rsid w:val="00E401E9"/>
    <w:rsid w:val="00E442D8"/>
    <w:rsid w:val="00E458E0"/>
    <w:rsid w:val="00E57855"/>
    <w:rsid w:val="00E62423"/>
    <w:rsid w:val="00E63B35"/>
    <w:rsid w:val="00E9475A"/>
    <w:rsid w:val="00E94CF7"/>
    <w:rsid w:val="00E96D7B"/>
    <w:rsid w:val="00EA09C4"/>
    <w:rsid w:val="00EB0616"/>
    <w:rsid w:val="00EB5D11"/>
    <w:rsid w:val="00ED234A"/>
    <w:rsid w:val="00EE55A7"/>
    <w:rsid w:val="00F1056D"/>
    <w:rsid w:val="00F144D8"/>
    <w:rsid w:val="00F330FF"/>
    <w:rsid w:val="00F332AA"/>
    <w:rsid w:val="00F33E51"/>
    <w:rsid w:val="00F43963"/>
    <w:rsid w:val="00F6299F"/>
    <w:rsid w:val="00F62D12"/>
    <w:rsid w:val="00F712F4"/>
    <w:rsid w:val="00F87D1F"/>
    <w:rsid w:val="00FA1CB4"/>
    <w:rsid w:val="00FA39E9"/>
    <w:rsid w:val="00FB1857"/>
    <w:rsid w:val="00FB7A4D"/>
    <w:rsid w:val="00FD50DC"/>
    <w:rsid w:val="00FF138E"/>
    <w:rsid w:val="00FF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2D8585"/>
  <w15:chartTrackingRefBased/>
  <w15:docId w15:val="{A0F623EB-4021-4F9B-A2FC-5F5FCEA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3D"/>
  </w:style>
  <w:style w:type="paragraph" w:styleId="Heading1">
    <w:name w:val="heading 1"/>
    <w:basedOn w:val="Normal"/>
    <w:next w:val="Normal"/>
    <w:link w:val="Heading1Char"/>
    <w:uiPriority w:val="9"/>
    <w:qFormat/>
    <w:rsid w:val="004442D3"/>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D6FA7"/>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D0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858"/>
  </w:style>
  <w:style w:type="paragraph" w:styleId="Footer">
    <w:name w:val="footer"/>
    <w:basedOn w:val="Normal"/>
    <w:link w:val="FooterChar"/>
    <w:uiPriority w:val="99"/>
    <w:unhideWhenUsed/>
    <w:rsid w:val="002F5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858"/>
  </w:style>
  <w:style w:type="table" w:styleId="TableGrid">
    <w:name w:val="Table Grid"/>
    <w:basedOn w:val="TableNormal"/>
    <w:uiPriority w:val="39"/>
    <w:rsid w:val="005A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42D3"/>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004442D3"/>
    <w:pPr>
      <w:outlineLvl w:val="9"/>
    </w:pPr>
    <w:rPr>
      <w:lang w:val="en-US"/>
    </w:rPr>
  </w:style>
  <w:style w:type="paragraph" w:styleId="TOC1">
    <w:name w:val="toc 1"/>
    <w:basedOn w:val="Normal"/>
    <w:next w:val="Normal"/>
    <w:autoRedefine/>
    <w:uiPriority w:val="39"/>
    <w:unhideWhenUsed/>
    <w:rsid w:val="004442D3"/>
    <w:pPr>
      <w:spacing w:after="100"/>
    </w:pPr>
  </w:style>
  <w:style w:type="character" w:styleId="Hyperlink">
    <w:name w:val="Hyperlink"/>
    <w:basedOn w:val="DefaultParagraphFont"/>
    <w:uiPriority w:val="99"/>
    <w:unhideWhenUsed/>
    <w:rsid w:val="004442D3"/>
    <w:rPr>
      <w:color w:val="9454C3" w:themeColor="hyperlink"/>
      <w:u w:val="single"/>
    </w:rPr>
  </w:style>
  <w:style w:type="paragraph" w:styleId="ListParagraph">
    <w:name w:val="List Paragraph"/>
    <w:basedOn w:val="Normal"/>
    <w:uiPriority w:val="34"/>
    <w:qFormat/>
    <w:rsid w:val="0034569A"/>
    <w:pPr>
      <w:ind w:left="720"/>
      <w:contextualSpacing/>
    </w:pPr>
  </w:style>
  <w:style w:type="character" w:styleId="IntenseEmphasis">
    <w:name w:val="Intense Emphasis"/>
    <w:basedOn w:val="DefaultParagraphFont"/>
    <w:uiPriority w:val="21"/>
    <w:qFormat/>
    <w:rsid w:val="00AD6FA7"/>
    <w:rPr>
      <w:i/>
      <w:iCs/>
      <w:color w:val="4A66AC" w:themeColor="accent1"/>
    </w:rPr>
  </w:style>
  <w:style w:type="character" w:customStyle="1" w:styleId="Heading2Char">
    <w:name w:val="Heading 2 Char"/>
    <w:basedOn w:val="DefaultParagraphFont"/>
    <w:link w:val="Heading2"/>
    <w:uiPriority w:val="9"/>
    <w:rsid w:val="00AD6FA7"/>
    <w:rPr>
      <w:rFonts w:asciiTheme="majorHAnsi" w:eastAsiaTheme="majorEastAsia" w:hAnsiTheme="majorHAnsi" w:cstheme="majorBidi"/>
      <w:color w:val="374C80" w:themeColor="accent1" w:themeShade="BF"/>
      <w:sz w:val="26"/>
      <w:szCs w:val="26"/>
    </w:rPr>
  </w:style>
  <w:style w:type="paragraph" w:styleId="TOC2">
    <w:name w:val="toc 2"/>
    <w:basedOn w:val="Normal"/>
    <w:next w:val="Normal"/>
    <w:autoRedefine/>
    <w:uiPriority w:val="39"/>
    <w:unhideWhenUsed/>
    <w:rsid w:val="000B44CF"/>
    <w:pPr>
      <w:spacing w:after="100"/>
      <w:ind w:left="220"/>
    </w:pPr>
  </w:style>
  <w:style w:type="paragraph" w:styleId="BalloonText">
    <w:name w:val="Balloon Text"/>
    <w:basedOn w:val="Normal"/>
    <w:link w:val="BalloonTextChar"/>
    <w:uiPriority w:val="99"/>
    <w:semiHidden/>
    <w:unhideWhenUsed/>
    <w:rsid w:val="00EE5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A7"/>
    <w:rPr>
      <w:rFonts w:ascii="Segoe UI" w:hAnsi="Segoe UI" w:cs="Segoe UI"/>
      <w:sz w:val="18"/>
      <w:szCs w:val="18"/>
    </w:rPr>
  </w:style>
  <w:style w:type="paragraph" w:styleId="NormalWeb">
    <w:name w:val="Normal (Web)"/>
    <w:basedOn w:val="Normal"/>
    <w:uiPriority w:val="99"/>
    <w:semiHidden/>
    <w:unhideWhenUsed/>
    <w:rsid w:val="00B73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52C23"/>
    <w:rPr>
      <w:color w:val="605E5C"/>
      <w:shd w:val="clear" w:color="auto" w:fill="E1DFDD"/>
    </w:rPr>
  </w:style>
  <w:style w:type="table" w:styleId="GridTable6Colorful-Accent1">
    <w:name w:val="Grid Table 6 Colorful Accent 1"/>
    <w:basedOn w:val="TableNormal"/>
    <w:uiPriority w:val="51"/>
    <w:rsid w:val="00672C66"/>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D52811"/>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78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sChild>
        <w:div w:id="1874927268">
          <w:marLeft w:val="446"/>
          <w:marRight w:val="0"/>
          <w:marTop w:val="0"/>
          <w:marBottom w:val="0"/>
          <w:divBdr>
            <w:top w:val="none" w:sz="0" w:space="0" w:color="auto"/>
            <w:left w:val="none" w:sz="0" w:space="0" w:color="auto"/>
            <w:bottom w:val="none" w:sz="0" w:space="0" w:color="auto"/>
            <w:right w:val="none" w:sz="0" w:space="0" w:color="auto"/>
          </w:divBdr>
        </w:div>
        <w:div w:id="620265082">
          <w:marLeft w:val="446"/>
          <w:marRight w:val="0"/>
          <w:marTop w:val="0"/>
          <w:marBottom w:val="0"/>
          <w:divBdr>
            <w:top w:val="none" w:sz="0" w:space="0" w:color="auto"/>
            <w:left w:val="none" w:sz="0" w:space="0" w:color="auto"/>
            <w:bottom w:val="none" w:sz="0" w:space="0" w:color="auto"/>
            <w:right w:val="none" w:sz="0" w:space="0" w:color="auto"/>
          </w:divBdr>
        </w:div>
      </w:divsChild>
    </w:div>
    <w:div w:id="267541993">
      <w:bodyDiv w:val="1"/>
      <w:marLeft w:val="0"/>
      <w:marRight w:val="0"/>
      <w:marTop w:val="0"/>
      <w:marBottom w:val="0"/>
      <w:divBdr>
        <w:top w:val="none" w:sz="0" w:space="0" w:color="auto"/>
        <w:left w:val="none" w:sz="0" w:space="0" w:color="auto"/>
        <w:bottom w:val="none" w:sz="0" w:space="0" w:color="auto"/>
        <w:right w:val="none" w:sz="0" w:space="0" w:color="auto"/>
      </w:divBdr>
    </w:div>
    <w:div w:id="335692497">
      <w:bodyDiv w:val="1"/>
      <w:marLeft w:val="0"/>
      <w:marRight w:val="0"/>
      <w:marTop w:val="0"/>
      <w:marBottom w:val="0"/>
      <w:divBdr>
        <w:top w:val="none" w:sz="0" w:space="0" w:color="auto"/>
        <w:left w:val="none" w:sz="0" w:space="0" w:color="auto"/>
        <w:bottom w:val="none" w:sz="0" w:space="0" w:color="auto"/>
        <w:right w:val="none" w:sz="0" w:space="0" w:color="auto"/>
      </w:divBdr>
    </w:div>
    <w:div w:id="395445261">
      <w:bodyDiv w:val="1"/>
      <w:marLeft w:val="0"/>
      <w:marRight w:val="0"/>
      <w:marTop w:val="0"/>
      <w:marBottom w:val="0"/>
      <w:divBdr>
        <w:top w:val="none" w:sz="0" w:space="0" w:color="auto"/>
        <w:left w:val="none" w:sz="0" w:space="0" w:color="auto"/>
        <w:bottom w:val="none" w:sz="0" w:space="0" w:color="auto"/>
        <w:right w:val="none" w:sz="0" w:space="0" w:color="auto"/>
      </w:divBdr>
    </w:div>
    <w:div w:id="452674356">
      <w:bodyDiv w:val="1"/>
      <w:marLeft w:val="0"/>
      <w:marRight w:val="0"/>
      <w:marTop w:val="0"/>
      <w:marBottom w:val="0"/>
      <w:divBdr>
        <w:top w:val="none" w:sz="0" w:space="0" w:color="auto"/>
        <w:left w:val="none" w:sz="0" w:space="0" w:color="auto"/>
        <w:bottom w:val="none" w:sz="0" w:space="0" w:color="auto"/>
        <w:right w:val="none" w:sz="0" w:space="0" w:color="auto"/>
      </w:divBdr>
    </w:div>
    <w:div w:id="491527520">
      <w:bodyDiv w:val="1"/>
      <w:marLeft w:val="0"/>
      <w:marRight w:val="0"/>
      <w:marTop w:val="0"/>
      <w:marBottom w:val="0"/>
      <w:divBdr>
        <w:top w:val="none" w:sz="0" w:space="0" w:color="auto"/>
        <w:left w:val="none" w:sz="0" w:space="0" w:color="auto"/>
        <w:bottom w:val="none" w:sz="0" w:space="0" w:color="auto"/>
        <w:right w:val="none" w:sz="0" w:space="0" w:color="auto"/>
      </w:divBdr>
    </w:div>
    <w:div w:id="577324041">
      <w:bodyDiv w:val="1"/>
      <w:marLeft w:val="0"/>
      <w:marRight w:val="0"/>
      <w:marTop w:val="0"/>
      <w:marBottom w:val="0"/>
      <w:divBdr>
        <w:top w:val="none" w:sz="0" w:space="0" w:color="auto"/>
        <w:left w:val="none" w:sz="0" w:space="0" w:color="auto"/>
        <w:bottom w:val="none" w:sz="0" w:space="0" w:color="auto"/>
        <w:right w:val="none" w:sz="0" w:space="0" w:color="auto"/>
      </w:divBdr>
    </w:div>
    <w:div w:id="778183893">
      <w:bodyDiv w:val="1"/>
      <w:marLeft w:val="0"/>
      <w:marRight w:val="0"/>
      <w:marTop w:val="0"/>
      <w:marBottom w:val="0"/>
      <w:divBdr>
        <w:top w:val="none" w:sz="0" w:space="0" w:color="auto"/>
        <w:left w:val="none" w:sz="0" w:space="0" w:color="auto"/>
        <w:bottom w:val="none" w:sz="0" w:space="0" w:color="auto"/>
        <w:right w:val="none" w:sz="0" w:space="0" w:color="auto"/>
      </w:divBdr>
    </w:div>
    <w:div w:id="793837885">
      <w:bodyDiv w:val="1"/>
      <w:marLeft w:val="0"/>
      <w:marRight w:val="0"/>
      <w:marTop w:val="0"/>
      <w:marBottom w:val="0"/>
      <w:divBdr>
        <w:top w:val="none" w:sz="0" w:space="0" w:color="auto"/>
        <w:left w:val="none" w:sz="0" w:space="0" w:color="auto"/>
        <w:bottom w:val="none" w:sz="0" w:space="0" w:color="auto"/>
        <w:right w:val="none" w:sz="0" w:space="0" w:color="auto"/>
      </w:divBdr>
    </w:div>
    <w:div w:id="1025406926">
      <w:bodyDiv w:val="1"/>
      <w:marLeft w:val="0"/>
      <w:marRight w:val="0"/>
      <w:marTop w:val="0"/>
      <w:marBottom w:val="0"/>
      <w:divBdr>
        <w:top w:val="none" w:sz="0" w:space="0" w:color="auto"/>
        <w:left w:val="none" w:sz="0" w:space="0" w:color="auto"/>
        <w:bottom w:val="none" w:sz="0" w:space="0" w:color="auto"/>
        <w:right w:val="none" w:sz="0" w:space="0" w:color="auto"/>
      </w:divBdr>
    </w:div>
    <w:div w:id="1137990978">
      <w:bodyDiv w:val="1"/>
      <w:marLeft w:val="0"/>
      <w:marRight w:val="0"/>
      <w:marTop w:val="0"/>
      <w:marBottom w:val="0"/>
      <w:divBdr>
        <w:top w:val="none" w:sz="0" w:space="0" w:color="auto"/>
        <w:left w:val="none" w:sz="0" w:space="0" w:color="auto"/>
        <w:bottom w:val="none" w:sz="0" w:space="0" w:color="auto"/>
        <w:right w:val="none" w:sz="0" w:space="0" w:color="auto"/>
      </w:divBdr>
    </w:div>
    <w:div w:id="1299384558">
      <w:bodyDiv w:val="1"/>
      <w:marLeft w:val="0"/>
      <w:marRight w:val="0"/>
      <w:marTop w:val="0"/>
      <w:marBottom w:val="0"/>
      <w:divBdr>
        <w:top w:val="none" w:sz="0" w:space="0" w:color="auto"/>
        <w:left w:val="none" w:sz="0" w:space="0" w:color="auto"/>
        <w:bottom w:val="none" w:sz="0" w:space="0" w:color="auto"/>
        <w:right w:val="none" w:sz="0" w:space="0" w:color="auto"/>
      </w:divBdr>
      <w:divsChild>
        <w:div w:id="1960601224">
          <w:marLeft w:val="446"/>
          <w:marRight w:val="0"/>
          <w:marTop w:val="0"/>
          <w:marBottom w:val="0"/>
          <w:divBdr>
            <w:top w:val="none" w:sz="0" w:space="0" w:color="auto"/>
            <w:left w:val="none" w:sz="0" w:space="0" w:color="auto"/>
            <w:bottom w:val="none" w:sz="0" w:space="0" w:color="auto"/>
            <w:right w:val="none" w:sz="0" w:space="0" w:color="auto"/>
          </w:divBdr>
        </w:div>
        <w:div w:id="1580561454">
          <w:marLeft w:val="446"/>
          <w:marRight w:val="0"/>
          <w:marTop w:val="0"/>
          <w:marBottom w:val="0"/>
          <w:divBdr>
            <w:top w:val="none" w:sz="0" w:space="0" w:color="auto"/>
            <w:left w:val="none" w:sz="0" w:space="0" w:color="auto"/>
            <w:bottom w:val="none" w:sz="0" w:space="0" w:color="auto"/>
            <w:right w:val="none" w:sz="0" w:space="0" w:color="auto"/>
          </w:divBdr>
        </w:div>
      </w:divsChild>
    </w:div>
    <w:div w:id="1592158766">
      <w:bodyDiv w:val="1"/>
      <w:marLeft w:val="0"/>
      <w:marRight w:val="0"/>
      <w:marTop w:val="0"/>
      <w:marBottom w:val="0"/>
      <w:divBdr>
        <w:top w:val="none" w:sz="0" w:space="0" w:color="auto"/>
        <w:left w:val="none" w:sz="0" w:space="0" w:color="auto"/>
        <w:bottom w:val="none" w:sz="0" w:space="0" w:color="auto"/>
        <w:right w:val="none" w:sz="0" w:space="0" w:color="auto"/>
      </w:divBdr>
    </w:div>
    <w:div w:id="1684240713">
      <w:bodyDiv w:val="1"/>
      <w:marLeft w:val="0"/>
      <w:marRight w:val="0"/>
      <w:marTop w:val="0"/>
      <w:marBottom w:val="0"/>
      <w:divBdr>
        <w:top w:val="none" w:sz="0" w:space="0" w:color="auto"/>
        <w:left w:val="none" w:sz="0" w:space="0" w:color="auto"/>
        <w:bottom w:val="none" w:sz="0" w:space="0" w:color="auto"/>
        <w:right w:val="none" w:sz="0" w:space="0" w:color="auto"/>
      </w:divBdr>
    </w:div>
    <w:div w:id="1791822273">
      <w:bodyDiv w:val="1"/>
      <w:marLeft w:val="0"/>
      <w:marRight w:val="0"/>
      <w:marTop w:val="0"/>
      <w:marBottom w:val="0"/>
      <w:divBdr>
        <w:top w:val="none" w:sz="0" w:space="0" w:color="auto"/>
        <w:left w:val="none" w:sz="0" w:space="0" w:color="auto"/>
        <w:bottom w:val="none" w:sz="0" w:space="0" w:color="auto"/>
        <w:right w:val="none" w:sz="0" w:space="0" w:color="auto"/>
      </w:divBdr>
    </w:div>
    <w:div w:id="1849179248">
      <w:bodyDiv w:val="1"/>
      <w:marLeft w:val="0"/>
      <w:marRight w:val="0"/>
      <w:marTop w:val="0"/>
      <w:marBottom w:val="0"/>
      <w:divBdr>
        <w:top w:val="none" w:sz="0" w:space="0" w:color="auto"/>
        <w:left w:val="none" w:sz="0" w:space="0" w:color="auto"/>
        <w:bottom w:val="none" w:sz="0" w:space="0" w:color="auto"/>
        <w:right w:val="none" w:sz="0" w:space="0" w:color="auto"/>
      </w:divBdr>
    </w:div>
    <w:div w:id="1873573850">
      <w:bodyDiv w:val="1"/>
      <w:marLeft w:val="0"/>
      <w:marRight w:val="0"/>
      <w:marTop w:val="0"/>
      <w:marBottom w:val="0"/>
      <w:divBdr>
        <w:top w:val="none" w:sz="0" w:space="0" w:color="auto"/>
        <w:left w:val="none" w:sz="0" w:space="0" w:color="auto"/>
        <w:bottom w:val="none" w:sz="0" w:space="0" w:color="auto"/>
        <w:right w:val="none" w:sz="0" w:space="0" w:color="auto"/>
      </w:divBdr>
    </w:div>
    <w:div w:id="1890991668">
      <w:bodyDiv w:val="1"/>
      <w:marLeft w:val="0"/>
      <w:marRight w:val="0"/>
      <w:marTop w:val="0"/>
      <w:marBottom w:val="0"/>
      <w:divBdr>
        <w:top w:val="none" w:sz="0" w:space="0" w:color="auto"/>
        <w:left w:val="none" w:sz="0" w:space="0" w:color="auto"/>
        <w:bottom w:val="none" w:sz="0" w:space="0" w:color="auto"/>
        <w:right w:val="none" w:sz="0" w:space="0" w:color="auto"/>
      </w:divBdr>
      <w:divsChild>
        <w:div w:id="411783887">
          <w:marLeft w:val="0"/>
          <w:marRight w:val="0"/>
          <w:marTop w:val="0"/>
          <w:marBottom w:val="0"/>
          <w:divBdr>
            <w:top w:val="none" w:sz="0" w:space="0" w:color="auto"/>
            <w:left w:val="none" w:sz="0" w:space="0" w:color="auto"/>
            <w:bottom w:val="none" w:sz="0" w:space="0" w:color="auto"/>
            <w:right w:val="none" w:sz="0" w:space="0" w:color="auto"/>
          </w:divBdr>
          <w:divsChild>
            <w:div w:id="851459961">
              <w:marLeft w:val="0"/>
              <w:marRight w:val="0"/>
              <w:marTop w:val="0"/>
              <w:marBottom w:val="0"/>
              <w:divBdr>
                <w:top w:val="none" w:sz="0" w:space="0" w:color="auto"/>
                <w:left w:val="none" w:sz="0" w:space="0" w:color="auto"/>
                <w:bottom w:val="none" w:sz="0" w:space="0" w:color="auto"/>
                <w:right w:val="none" w:sz="0" w:space="0" w:color="auto"/>
              </w:divBdr>
              <w:divsChild>
                <w:div w:id="1919053790">
                  <w:marLeft w:val="0"/>
                  <w:marRight w:val="0"/>
                  <w:marTop w:val="-4"/>
                  <w:marBottom w:val="0"/>
                  <w:divBdr>
                    <w:top w:val="none" w:sz="0" w:space="0" w:color="auto"/>
                    <w:left w:val="none" w:sz="0" w:space="0" w:color="auto"/>
                    <w:bottom w:val="none" w:sz="0" w:space="0" w:color="auto"/>
                    <w:right w:val="none" w:sz="0" w:space="0" w:color="auto"/>
                  </w:divBdr>
                  <w:divsChild>
                    <w:div w:id="2075396066">
                      <w:marLeft w:val="0"/>
                      <w:marRight w:val="0"/>
                      <w:marTop w:val="0"/>
                      <w:marBottom w:val="0"/>
                      <w:divBdr>
                        <w:top w:val="none" w:sz="0" w:space="0" w:color="auto"/>
                        <w:left w:val="none" w:sz="0" w:space="0" w:color="auto"/>
                        <w:bottom w:val="none" w:sz="0" w:space="0" w:color="auto"/>
                        <w:right w:val="none" w:sz="0" w:space="0" w:color="auto"/>
                      </w:divBdr>
                      <w:divsChild>
                        <w:div w:id="1213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6193">
      <w:bodyDiv w:val="1"/>
      <w:marLeft w:val="0"/>
      <w:marRight w:val="0"/>
      <w:marTop w:val="0"/>
      <w:marBottom w:val="0"/>
      <w:divBdr>
        <w:top w:val="none" w:sz="0" w:space="0" w:color="auto"/>
        <w:left w:val="none" w:sz="0" w:space="0" w:color="auto"/>
        <w:bottom w:val="none" w:sz="0" w:space="0" w:color="auto"/>
        <w:right w:val="none" w:sz="0" w:space="0" w:color="auto"/>
      </w:divBdr>
    </w:div>
    <w:div w:id="1936397444">
      <w:bodyDiv w:val="1"/>
      <w:marLeft w:val="0"/>
      <w:marRight w:val="0"/>
      <w:marTop w:val="0"/>
      <w:marBottom w:val="0"/>
      <w:divBdr>
        <w:top w:val="none" w:sz="0" w:space="0" w:color="auto"/>
        <w:left w:val="none" w:sz="0" w:space="0" w:color="auto"/>
        <w:bottom w:val="none" w:sz="0" w:space="0" w:color="auto"/>
        <w:right w:val="none" w:sz="0" w:space="0" w:color="auto"/>
      </w:divBdr>
    </w:div>
    <w:div w:id="2023358882">
      <w:bodyDiv w:val="1"/>
      <w:marLeft w:val="0"/>
      <w:marRight w:val="0"/>
      <w:marTop w:val="0"/>
      <w:marBottom w:val="0"/>
      <w:divBdr>
        <w:top w:val="none" w:sz="0" w:space="0" w:color="auto"/>
        <w:left w:val="none" w:sz="0" w:space="0" w:color="auto"/>
        <w:bottom w:val="none" w:sz="0" w:space="0" w:color="auto"/>
        <w:right w:val="none" w:sz="0" w:space="0" w:color="auto"/>
      </w:divBdr>
    </w:div>
    <w:div w:id="2038894256">
      <w:bodyDiv w:val="1"/>
      <w:marLeft w:val="0"/>
      <w:marRight w:val="0"/>
      <w:marTop w:val="0"/>
      <w:marBottom w:val="0"/>
      <w:divBdr>
        <w:top w:val="none" w:sz="0" w:space="0" w:color="auto"/>
        <w:left w:val="none" w:sz="0" w:space="0" w:color="auto"/>
        <w:bottom w:val="none" w:sz="0" w:space="0" w:color="auto"/>
        <w:right w:val="none" w:sz="0" w:space="0" w:color="auto"/>
      </w:divBdr>
    </w:div>
    <w:div w:id="2041776706">
      <w:bodyDiv w:val="1"/>
      <w:marLeft w:val="0"/>
      <w:marRight w:val="0"/>
      <w:marTop w:val="0"/>
      <w:marBottom w:val="0"/>
      <w:divBdr>
        <w:top w:val="none" w:sz="0" w:space="0" w:color="auto"/>
        <w:left w:val="none" w:sz="0" w:space="0" w:color="auto"/>
        <w:bottom w:val="none" w:sz="0" w:space="0" w:color="auto"/>
        <w:right w:val="none" w:sz="0" w:space="0" w:color="auto"/>
      </w:divBdr>
    </w:div>
    <w:div w:id="2113161919">
      <w:bodyDiv w:val="1"/>
      <w:marLeft w:val="0"/>
      <w:marRight w:val="0"/>
      <w:marTop w:val="0"/>
      <w:marBottom w:val="0"/>
      <w:divBdr>
        <w:top w:val="none" w:sz="0" w:space="0" w:color="auto"/>
        <w:left w:val="none" w:sz="0" w:space="0" w:color="auto"/>
        <w:bottom w:val="none" w:sz="0" w:space="0" w:color="auto"/>
        <w:right w:val="none" w:sz="0" w:space="0" w:color="auto"/>
      </w:divBdr>
    </w:div>
    <w:div w:id="21327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seydeealliance.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tellationpartnership.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71candwep.co.uk/strategic-priorities/science-corridor/" TargetMode="External"/><Relationship Id="rId5" Type="http://schemas.openxmlformats.org/officeDocument/2006/relationships/webSettings" Target="webSettings.xml"/><Relationship Id="rId15" Type="http://schemas.openxmlformats.org/officeDocument/2006/relationships/hyperlink" Target="http://www.871candwep.co.uk/how-we-work/" TargetMode="External"/><Relationship Id="rId10" Type="http://schemas.openxmlformats.org/officeDocument/2006/relationships/hyperlink" Target="http://www.871candwep.co.uk/content/uploads/2018/07/SEP.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arringtonandco.com/downloads-publications/warrington-means-busine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2DBE-3607-45DC-900C-4D6B656D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Brosnahan</dc:creator>
  <cp:keywords/>
  <dc:description/>
  <cp:lastModifiedBy>Alison Harkness</cp:lastModifiedBy>
  <cp:revision>2</cp:revision>
  <cp:lastPrinted>2019-05-09T14:04:00Z</cp:lastPrinted>
  <dcterms:created xsi:type="dcterms:W3CDTF">2019-05-09T15:46:00Z</dcterms:created>
  <dcterms:modified xsi:type="dcterms:W3CDTF">2019-05-09T15:46:00Z</dcterms:modified>
</cp:coreProperties>
</file>